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default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i w:val="0"/>
          <w:caps w:val="0"/>
          <w:color w:val="666666"/>
          <w:spacing w:val="0"/>
          <w:sz w:val="44"/>
          <w:szCs w:val="44"/>
          <w:shd w:val="clear" w:fill="FFFFFF"/>
          <w:lang w:val="en-US" w:eastAsia="zh-CN"/>
        </w:rPr>
        <w:t>评分标准</w:t>
      </w:r>
    </w:p>
    <w:p>
      <w:pPr>
        <w:pStyle w:val="3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微软雅黑" w:hAnsi="微软雅黑" w:eastAsia="微软雅黑" w:cs="微软雅黑"/>
          <w:i w:val="0"/>
          <w:caps w:val="0"/>
          <w:color w:val="666666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caps w:val="0"/>
          <w:color w:val="666666"/>
          <w:spacing w:val="0"/>
          <w:sz w:val="28"/>
          <w:szCs w:val="28"/>
          <w:shd w:val="clear" w:fill="FFFFFF"/>
          <w:lang w:val="en-US" w:eastAsia="zh-CN"/>
        </w:rPr>
        <w:t>采用综合评分法，满分为100分。</w:t>
      </w:r>
    </w:p>
    <w:tbl>
      <w:tblPr>
        <w:tblStyle w:val="31"/>
        <w:tblW w:w="499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4"/>
        <w:gridCol w:w="2333"/>
        <w:gridCol w:w="4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7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12" w:lineRule="auto"/>
              <w:ind w:left="-178" w:leftChars="-85" w:right="-107" w:rightChars="-51" w:firstLine="141" w:firstLineChars="50"/>
              <w:jc w:val="center"/>
              <w:rPr>
                <w:rFonts w:hint="default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default" w:eastAsia="仿宋_GB2312"/>
                <w:b/>
                <w:color w:val="000000"/>
                <w:sz w:val="28"/>
                <w:szCs w:val="28"/>
              </w:rPr>
              <w:t>评分因素</w:t>
            </w:r>
          </w:p>
        </w:tc>
        <w:tc>
          <w:tcPr>
            <w:tcW w:w="1207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7" w:leftChars="-51" w:right="-107" w:rightChars="-51"/>
              <w:jc w:val="center"/>
              <w:rPr>
                <w:rFonts w:hint="default" w:eastAsia="仿宋_GB2312"/>
                <w:b/>
                <w:sz w:val="28"/>
                <w:szCs w:val="28"/>
              </w:rPr>
            </w:pPr>
            <w:r>
              <w:rPr>
                <w:rFonts w:hint="default" w:eastAsia="仿宋_GB2312"/>
                <w:b/>
                <w:sz w:val="28"/>
                <w:szCs w:val="28"/>
              </w:rPr>
              <w:t>具 体 标 准</w:t>
            </w:r>
          </w:p>
        </w:tc>
        <w:tc>
          <w:tcPr>
            <w:tcW w:w="2522" w:type="pct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7740"/>
              </w:tabs>
              <w:spacing w:before="0" w:beforeAutospacing="0" w:after="0" w:afterAutospacing="0"/>
              <w:ind w:left="0" w:right="-136" w:rightChars="-65"/>
              <w:jc w:val="center"/>
              <w:rPr>
                <w:rFonts w:hint="default" w:eastAsia="仿宋_GB2312"/>
                <w:b/>
                <w:bCs/>
                <w:sz w:val="28"/>
                <w:szCs w:val="28"/>
              </w:rPr>
            </w:pPr>
            <w:r>
              <w:rPr>
                <w:rFonts w:hint="default" w:eastAsia="仿宋_GB2312"/>
                <w:b/>
                <w:bCs/>
                <w:sz w:val="28"/>
                <w:szCs w:val="28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27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12" w:lineRule="auto"/>
              <w:ind w:left="0" w:right="0"/>
              <w:rPr>
                <w:rFonts w:hint="default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资质要求</w:t>
            </w:r>
          </w:p>
        </w:tc>
        <w:tc>
          <w:tcPr>
            <w:tcW w:w="1207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12" w:lineRule="auto"/>
              <w:ind w:left="0" w:right="0"/>
              <w:rPr>
                <w:rFonts w:hint="default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 xml:space="preserve">分 </w:t>
            </w:r>
          </w:p>
        </w:tc>
        <w:tc>
          <w:tcPr>
            <w:tcW w:w="2522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12" w:lineRule="auto"/>
              <w:ind w:left="0" w:right="0"/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投标人须具备</w:t>
            </w:r>
            <w:r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  <w:t>特种工程（特种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防雷</w:t>
            </w:r>
            <w:r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  <w:t>）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专业施工资质</w:t>
            </w:r>
            <w:r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得</w:t>
            </w: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分</w:t>
            </w:r>
            <w:r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  <w:t>。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安全生产许可证</w:t>
            </w:r>
            <w:r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default" w:eastAsia="仿宋_GB2312"/>
                <w:color w:val="000000"/>
                <w:sz w:val="28"/>
                <w:szCs w:val="28"/>
              </w:rPr>
              <w:t>得</w:t>
            </w: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eastAsia="仿宋_GB2312"/>
                <w:color w:val="000000"/>
                <w:sz w:val="28"/>
                <w:szCs w:val="28"/>
              </w:rPr>
              <w:t>分</w:t>
            </w: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27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12" w:lineRule="auto"/>
              <w:ind w:left="0" w:right="0"/>
              <w:rPr>
                <w:rFonts w:hint="default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类似业绩</w:t>
            </w:r>
          </w:p>
        </w:tc>
        <w:tc>
          <w:tcPr>
            <w:tcW w:w="1207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12" w:lineRule="auto"/>
              <w:ind w:left="0" w:right="0"/>
              <w:rPr>
                <w:rFonts w:hint="default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分</w:t>
            </w:r>
            <w:r>
              <w:rPr>
                <w:rFonts w:hint="default" w:eastAsia="仿宋_GB2312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22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12" w:lineRule="auto"/>
              <w:ind w:left="0" w:right="0"/>
              <w:rPr>
                <w:rFonts w:hint="default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最近3年（提供2</w:t>
            </w:r>
            <w:r>
              <w:rPr>
                <w:rFonts w:hint="default" w:eastAsia="仿宋_GB2312"/>
                <w:color w:val="000000"/>
                <w:sz w:val="28"/>
                <w:szCs w:val="28"/>
              </w:rPr>
              <w:t>0</w:t>
            </w: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月至今的类似业绩）有与本项目类似项目案例，每个案例得</w:t>
            </w: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分，最多得</w:t>
            </w: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分。（投标人需要提供合同首页、双方盖章页，复印件并加盖投标人公章）。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3" w:hRule="atLeast"/>
        </w:trPr>
        <w:tc>
          <w:tcPr>
            <w:tcW w:w="127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12" w:lineRule="auto"/>
              <w:ind w:left="0" w:right="0"/>
              <w:rPr>
                <w:rFonts w:hint="default" w:eastAsia="仿宋_GB2312"/>
                <w:color w:val="000000"/>
                <w:sz w:val="28"/>
                <w:szCs w:val="28"/>
              </w:rPr>
            </w:pPr>
            <w:r>
              <w:rPr>
                <w:rFonts w:hint="default" w:eastAsia="仿宋_GB2312"/>
                <w:color w:val="000000"/>
                <w:sz w:val="28"/>
                <w:szCs w:val="28"/>
              </w:rPr>
              <w:t>人员配置</w:t>
            </w:r>
          </w:p>
        </w:tc>
        <w:tc>
          <w:tcPr>
            <w:tcW w:w="1207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12" w:lineRule="auto"/>
              <w:ind w:left="0" w:right="0"/>
              <w:rPr>
                <w:rFonts w:hint="default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2522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12" w:lineRule="auto"/>
              <w:ind w:left="0" w:right="0"/>
              <w:rPr>
                <w:rFonts w:hint="default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项目</w:t>
            </w:r>
            <w:r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  <w:t>负责人具备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机电工程二级注册建造师及以上</w:t>
            </w:r>
            <w:r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  <w:t>资质，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专业</w:t>
            </w:r>
            <w:r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  <w:t>施工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人员</w:t>
            </w:r>
            <w:r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  <w:t>具有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相关</w:t>
            </w:r>
            <w:r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  <w:t>专业资质，提供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证件复印件并加盖公章。提供得</w:t>
            </w: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分，不提供不得分。提供项目团队配备的合理性、专业性和相关工作经验等内容，包括但不限于团队人员、工作年限、专业等基本情况，资格证书，相关工作经验等内容。优得</w:t>
            </w:r>
            <w:r>
              <w:rPr>
                <w:rFonts w:hint="eastAsia" w:eastAsia="仿宋_GB2312"/>
                <w:strike w:val="0"/>
                <w:dstrike w:val="0"/>
                <w:color w:val="00000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分；良得</w:t>
            </w: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分；一般得</w:t>
            </w: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7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12" w:lineRule="auto"/>
              <w:ind w:left="0" w:right="0"/>
              <w:rPr>
                <w:rFonts w:hint="default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实施方案</w:t>
            </w:r>
          </w:p>
        </w:tc>
        <w:tc>
          <w:tcPr>
            <w:tcW w:w="1207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12" w:lineRule="auto"/>
              <w:ind w:left="0" w:right="0"/>
              <w:rPr>
                <w:rFonts w:hint="default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eastAsia="仿宋_GB2312"/>
                <w:color w:val="000000"/>
                <w:sz w:val="28"/>
                <w:szCs w:val="28"/>
              </w:rPr>
              <w:t>0分</w:t>
            </w:r>
          </w:p>
        </w:tc>
        <w:tc>
          <w:tcPr>
            <w:tcW w:w="2522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12" w:lineRule="auto"/>
              <w:ind w:left="0" w:right="0"/>
              <w:rPr>
                <w:rFonts w:hint="default" w:eastAsia="仿宋_GB2312"/>
                <w:color w:val="000000"/>
                <w:sz w:val="28"/>
                <w:szCs w:val="28"/>
              </w:rPr>
            </w:pPr>
            <w:r>
              <w:rPr>
                <w:rFonts w:hint="default" w:eastAsia="仿宋_GB2312"/>
                <w:color w:val="000000"/>
                <w:sz w:val="28"/>
                <w:szCs w:val="28"/>
              </w:rPr>
              <w:t>1、实施方案措施详细、完善、合理并满足采购需求，得</w:t>
            </w: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default" w:eastAsia="仿宋_GB2312"/>
                <w:color w:val="000000"/>
                <w:sz w:val="28"/>
                <w:szCs w:val="28"/>
              </w:rPr>
              <w:t>-</w:t>
            </w: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eastAsia="仿宋_GB2312"/>
                <w:color w:val="000000"/>
                <w:sz w:val="28"/>
                <w:szCs w:val="28"/>
              </w:rPr>
              <w:t>0分；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12" w:lineRule="auto"/>
              <w:ind w:left="0" w:right="0"/>
              <w:rPr>
                <w:rFonts w:hint="default" w:eastAsia="仿宋_GB2312"/>
                <w:color w:val="000000"/>
                <w:sz w:val="28"/>
                <w:szCs w:val="28"/>
              </w:rPr>
            </w:pPr>
            <w:r>
              <w:rPr>
                <w:rFonts w:hint="default" w:eastAsia="仿宋_GB2312"/>
                <w:color w:val="000000"/>
                <w:sz w:val="28"/>
                <w:szCs w:val="28"/>
              </w:rPr>
              <w:t>2、实施方案措施较详细、合理并基本满足采购需求，得10-</w:t>
            </w: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default" w:eastAsia="仿宋_GB2312"/>
                <w:color w:val="000000"/>
                <w:sz w:val="28"/>
                <w:szCs w:val="28"/>
              </w:rPr>
              <w:t>分；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12" w:lineRule="auto"/>
              <w:ind w:left="0" w:right="0"/>
              <w:rPr>
                <w:rFonts w:hint="default" w:eastAsia="仿宋_GB2312"/>
                <w:color w:val="000000"/>
                <w:sz w:val="28"/>
                <w:szCs w:val="28"/>
              </w:rPr>
            </w:pPr>
            <w:r>
              <w:rPr>
                <w:rFonts w:hint="default" w:eastAsia="仿宋_GB2312"/>
                <w:color w:val="000000"/>
                <w:sz w:val="28"/>
                <w:szCs w:val="28"/>
              </w:rPr>
              <w:t>3、实施方案措施不详细、不满足采购需求，得5-10分；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12" w:lineRule="auto"/>
              <w:ind w:left="0" w:right="0"/>
              <w:rPr>
                <w:rFonts w:hint="default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4、未提供，得0分。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4" w:hRule="atLeast"/>
        </w:trPr>
        <w:tc>
          <w:tcPr>
            <w:tcW w:w="127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12" w:lineRule="auto"/>
              <w:ind w:left="0" w:right="0"/>
              <w:rPr>
                <w:rFonts w:hint="default" w:eastAsia="仿宋_GB2312"/>
                <w:color w:val="000000"/>
                <w:sz w:val="28"/>
                <w:szCs w:val="28"/>
              </w:rPr>
            </w:pPr>
            <w:r>
              <w:rPr>
                <w:rFonts w:hint="default" w:eastAsia="仿宋_GB2312"/>
                <w:color w:val="000000"/>
                <w:sz w:val="28"/>
                <w:szCs w:val="28"/>
              </w:rPr>
              <w:t>服务承诺</w:t>
            </w:r>
          </w:p>
        </w:tc>
        <w:tc>
          <w:tcPr>
            <w:tcW w:w="1207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12" w:lineRule="auto"/>
              <w:ind w:left="0" w:right="0"/>
              <w:rPr>
                <w:rFonts w:hint="default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default" w:eastAsia="仿宋_GB2312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2522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12" w:lineRule="auto"/>
              <w:ind w:left="0" w:right="0"/>
              <w:rPr>
                <w:rFonts w:hint="default" w:eastAsia="仿宋_GB2312"/>
                <w:color w:val="000000"/>
                <w:sz w:val="28"/>
                <w:szCs w:val="28"/>
              </w:rPr>
            </w:pPr>
            <w:r>
              <w:rPr>
                <w:rFonts w:hint="default" w:eastAsia="仿宋_GB2312"/>
                <w:color w:val="000000"/>
                <w:sz w:val="28"/>
                <w:szCs w:val="28"/>
              </w:rPr>
              <w:t>针对本项目提供有价值的服务承诺</w:t>
            </w:r>
            <w:r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  <w:t>或增值</w:t>
            </w:r>
            <w:r>
              <w:rPr>
                <w:rFonts w:hint="default" w:eastAsia="仿宋_GB2312"/>
                <w:color w:val="000000"/>
                <w:sz w:val="28"/>
                <w:szCs w:val="28"/>
              </w:rPr>
              <w:t>服务的</w:t>
            </w:r>
            <w:r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  <w:t>（如工程量清单外维修、提供附属建筑物防雷系统检测等）</w:t>
            </w:r>
            <w:r>
              <w:rPr>
                <w:rFonts w:hint="default" w:eastAsia="仿宋_GB2312"/>
                <w:color w:val="000000"/>
                <w:sz w:val="28"/>
                <w:szCs w:val="28"/>
              </w:rPr>
              <w:t xml:space="preserve">，每提出 1 项得 </w:t>
            </w: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5</w:t>
            </w:r>
            <w:r>
              <w:rPr>
                <w:rFonts w:hint="default" w:eastAsia="仿宋_GB2312"/>
                <w:color w:val="000000"/>
                <w:sz w:val="28"/>
                <w:szCs w:val="28"/>
              </w:rPr>
              <w:t xml:space="preserve"> 分，最多得 </w:t>
            </w: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default" w:eastAsia="仿宋_GB2312"/>
                <w:color w:val="000000"/>
                <w:sz w:val="28"/>
                <w:szCs w:val="28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7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12" w:lineRule="auto"/>
              <w:ind w:left="0" w:right="0"/>
              <w:rPr>
                <w:rFonts w:hint="default" w:eastAsia="仿宋_GB2312"/>
                <w:color w:val="000000"/>
                <w:sz w:val="28"/>
                <w:szCs w:val="28"/>
              </w:rPr>
            </w:pPr>
            <w:r>
              <w:rPr>
                <w:rFonts w:hint="default" w:eastAsia="仿宋_GB2312"/>
                <w:color w:val="000000"/>
                <w:sz w:val="28"/>
                <w:szCs w:val="28"/>
              </w:rPr>
              <w:t>比选报价</w:t>
            </w:r>
          </w:p>
        </w:tc>
        <w:tc>
          <w:tcPr>
            <w:tcW w:w="1207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12" w:lineRule="auto"/>
              <w:ind w:left="0" w:right="0"/>
              <w:rPr>
                <w:rFonts w:hint="default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lang w:val="en-US" w:eastAsia="zh-CN"/>
              </w:rPr>
              <w:t>15</w:t>
            </w:r>
            <w:r>
              <w:rPr>
                <w:rFonts w:hint="default" w:eastAsia="仿宋_GB2312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2522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12" w:lineRule="auto"/>
              <w:ind w:left="0" w:right="0"/>
              <w:rPr>
                <w:rFonts w:hint="default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价格分统一采用低价优先法计算，即满足比选文件要求且最终报价最低的报价为评审基准价，其价格分为满分。其他参选人的价格分按照下列公式计算：报价得分=（评审基准价∕最终报价）×</w:t>
            </w: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7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12" w:lineRule="auto"/>
              <w:ind w:left="0" w:right="0"/>
              <w:rPr>
                <w:rFonts w:hint="default" w:eastAsia="仿宋_GB2312"/>
                <w:color w:val="000000"/>
                <w:sz w:val="28"/>
                <w:szCs w:val="28"/>
              </w:rPr>
            </w:pPr>
            <w:r>
              <w:rPr>
                <w:rFonts w:hint="default" w:eastAsia="仿宋_GB2312"/>
                <w:color w:val="000000"/>
                <w:sz w:val="28"/>
                <w:szCs w:val="28"/>
              </w:rPr>
              <w:t>合  计</w:t>
            </w:r>
          </w:p>
        </w:tc>
        <w:tc>
          <w:tcPr>
            <w:tcW w:w="1207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12" w:lineRule="auto"/>
              <w:ind w:left="0" w:right="0"/>
              <w:rPr>
                <w:rFonts w:hint="default" w:eastAsia="仿宋_GB2312"/>
                <w:color w:val="000000"/>
                <w:sz w:val="28"/>
                <w:szCs w:val="28"/>
              </w:rPr>
            </w:pPr>
            <w:r>
              <w:rPr>
                <w:rFonts w:hint="default" w:eastAsia="仿宋_GB2312"/>
                <w:color w:val="000000"/>
                <w:sz w:val="28"/>
                <w:szCs w:val="28"/>
              </w:rPr>
              <w:t>100分</w:t>
            </w:r>
          </w:p>
        </w:tc>
        <w:tc>
          <w:tcPr>
            <w:tcW w:w="2522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12" w:lineRule="auto"/>
              <w:ind w:left="0" w:right="0"/>
              <w:rPr>
                <w:rFonts w:hint="default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黑体" w:hAnsi="宋体" w:eastAsia="黑体"/>
          <w:b/>
          <w:bCs/>
          <w:spacing w:val="20"/>
          <w:sz w:val="44"/>
          <w:szCs w:val="44"/>
        </w:rPr>
      </w:pPr>
    </w:p>
    <w:p>
      <w:pPr>
        <w:jc w:val="center"/>
        <w:rPr>
          <w:rFonts w:hint="eastAsia" w:ascii="黑体" w:hAnsi="宋体" w:eastAsia="黑体"/>
          <w:b/>
          <w:bCs/>
          <w:spacing w:val="20"/>
          <w:sz w:val="44"/>
          <w:szCs w:val="44"/>
        </w:rPr>
      </w:pPr>
    </w:p>
    <w:p>
      <w:pPr>
        <w:jc w:val="center"/>
        <w:rPr>
          <w:rFonts w:hint="eastAsia" w:ascii="黑体" w:hAnsi="宋体" w:eastAsia="黑体"/>
          <w:b/>
          <w:bCs/>
          <w:spacing w:val="20"/>
          <w:sz w:val="44"/>
          <w:szCs w:val="44"/>
        </w:rPr>
      </w:pPr>
    </w:p>
    <w:p>
      <w:pPr>
        <w:pStyle w:val="2"/>
        <w:rPr>
          <w:rFonts w:hint="eastAsia"/>
        </w:rPr>
      </w:pPr>
    </w:p>
    <w:p>
      <w:pPr>
        <w:jc w:val="center"/>
        <w:rPr>
          <w:rFonts w:hint="eastAsia" w:ascii="黑体" w:hAnsi="宋体" w:eastAsia="黑体"/>
          <w:b/>
          <w:bCs/>
          <w:spacing w:val="20"/>
          <w:sz w:val="44"/>
          <w:szCs w:val="44"/>
        </w:rPr>
      </w:pPr>
    </w:p>
    <w:p>
      <w:pPr>
        <w:jc w:val="center"/>
        <w:rPr>
          <w:rFonts w:ascii="宋体" w:hAnsi="宋体"/>
          <w:bCs/>
          <w:color w:val="00B0F0"/>
          <w:sz w:val="36"/>
          <w:szCs w:val="36"/>
        </w:rPr>
      </w:pPr>
      <w:r>
        <w:rPr>
          <w:rFonts w:hint="eastAsia" w:ascii="黑体" w:hAnsi="宋体" w:eastAsia="黑体"/>
          <w:b/>
          <w:bCs/>
          <w:spacing w:val="20"/>
          <w:sz w:val="44"/>
          <w:szCs w:val="44"/>
        </w:rPr>
        <w:t>防雷</w:t>
      </w:r>
      <w:r>
        <w:rPr>
          <w:rFonts w:hint="eastAsia" w:ascii="黑体" w:hAnsi="宋体" w:eastAsia="黑体"/>
          <w:b/>
          <w:bCs/>
          <w:spacing w:val="20"/>
          <w:sz w:val="44"/>
          <w:szCs w:val="44"/>
          <w:lang w:eastAsia="zh-CN"/>
        </w:rPr>
        <w:t>系统维修工程量清单</w:t>
      </w:r>
    </w:p>
    <w:p>
      <w:pPr>
        <w:spacing w:line="560" w:lineRule="exact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1、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吴宪大楼</w:t>
      </w:r>
    </w:p>
    <w:tbl>
      <w:tblPr>
        <w:tblStyle w:val="31"/>
        <w:tblW w:w="10102" w:type="dxa"/>
        <w:tblInd w:w="-3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415"/>
        <w:gridCol w:w="816"/>
        <w:gridCol w:w="984"/>
        <w:gridCol w:w="983"/>
        <w:gridCol w:w="1467"/>
        <w:gridCol w:w="1600"/>
        <w:gridCol w:w="2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804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41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材料项目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984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工程量</w:t>
            </w:r>
          </w:p>
        </w:tc>
        <w:tc>
          <w:tcPr>
            <w:tcW w:w="98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参数</w:t>
            </w: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施工方式</w:t>
            </w:r>
          </w:p>
        </w:tc>
        <w:tc>
          <w:tcPr>
            <w:tcW w:w="160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达到效果</w:t>
            </w:r>
          </w:p>
        </w:tc>
        <w:tc>
          <w:tcPr>
            <w:tcW w:w="203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验收标准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7" w:hRule="atLeast"/>
        </w:trPr>
        <w:tc>
          <w:tcPr>
            <w:tcW w:w="804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240" w:firstLineChars="1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41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二级浪涌保护器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套</w:t>
            </w:r>
          </w:p>
        </w:tc>
        <w:tc>
          <w:tcPr>
            <w:tcW w:w="984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98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UC：385V IN：20KA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Imax：40KA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UP;≤1.2KV</w:t>
            </w: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电梯机房更换损坏避雷器</w:t>
            </w:r>
          </w:p>
        </w:tc>
        <w:tc>
          <w:tcPr>
            <w:tcW w:w="160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将线路上的瞬间过电压限制到一个安全的水平</w:t>
            </w:r>
          </w:p>
        </w:tc>
        <w:tc>
          <w:tcPr>
            <w:tcW w:w="203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测试其主要性能参数(如 Uc、In、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Imax、Iimp、Up 等)和安装工艺(连接导体的材质和导线截面，连接导线的色标，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Theme="minorEastAsia" w:hAnsiTheme="minorEastAsia" w:eastAsiaTheme="minorEastAsia" w:cstheme="minorEastAsia"/>
                <w:color w:val="C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接线连接牢固程度)是否符合标准，整体最大放电电流：8/20μs 、40KA；电压保护级别：≤1.5KV。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04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</w:t>
            </w:r>
          </w:p>
        </w:tc>
        <w:tc>
          <w:tcPr>
            <w:tcW w:w="141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浪涌保护器前置空气开关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个</w:t>
            </w:r>
          </w:p>
        </w:tc>
        <w:tc>
          <w:tcPr>
            <w:tcW w:w="984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98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C32</w:t>
            </w: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电梯机房配电箱</w:t>
            </w:r>
          </w:p>
        </w:tc>
        <w:tc>
          <w:tcPr>
            <w:tcW w:w="160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配合浪涌保护器工作，保证浪涌保护器处于正常工作状态</w:t>
            </w:r>
          </w:p>
        </w:tc>
        <w:tc>
          <w:tcPr>
            <w:tcW w:w="203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利用万用表、电笔等测试其主要性能参数，安全等级及过流电阻是否正常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804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</w:t>
            </w:r>
          </w:p>
        </w:tc>
        <w:tc>
          <w:tcPr>
            <w:tcW w:w="141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一级浪涌保护器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套</w:t>
            </w:r>
          </w:p>
        </w:tc>
        <w:tc>
          <w:tcPr>
            <w:tcW w:w="984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10</w:t>
            </w:r>
          </w:p>
        </w:tc>
        <w:tc>
          <w:tcPr>
            <w:tcW w:w="98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UC:275V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In:50KA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Iimp:50KA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UP:≤2.5KV</w:t>
            </w: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总配电室配电柜内</w:t>
            </w:r>
          </w:p>
        </w:tc>
        <w:tc>
          <w:tcPr>
            <w:tcW w:w="160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将线路上的瞬间过电压限制到一个安全的水平</w:t>
            </w:r>
          </w:p>
        </w:tc>
        <w:tc>
          <w:tcPr>
            <w:tcW w:w="203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测试其主要性能参数(如 Uc、In、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Imax、Iimp、Up 等)和安装工艺(连接导体的材质和导线截面，连接导线的色标，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接线连接牢固程度)是否符合标准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Theme="minorEastAsia" w:hAnsiTheme="minorEastAsia" w:eastAsiaTheme="minorEastAsia" w:cstheme="minorEastAsia"/>
                <w:color w:val="C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要求：Iimp(10/350μs)不应小于12.5 kA，Up不高于2.5kV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04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</w:t>
            </w:r>
          </w:p>
        </w:tc>
        <w:tc>
          <w:tcPr>
            <w:tcW w:w="141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浪涌保护器前置空气开关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个</w:t>
            </w:r>
          </w:p>
        </w:tc>
        <w:tc>
          <w:tcPr>
            <w:tcW w:w="984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10</w:t>
            </w:r>
          </w:p>
        </w:tc>
        <w:tc>
          <w:tcPr>
            <w:tcW w:w="98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63A</w:t>
            </w: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总配机房配电箱</w:t>
            </w:r>
          </w:p>
        </w:tc>
        <w:tc>
          <w:tcPr>
            <w:tcW w:w="160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配合浪涌保护器工作，保证浪涌保护器处于正常工作状态</w:t>
            </w:r>
          </w:p>
        </w:tc>
        <w:tc>
          <w:tcPr>
            <w:tcW w:w="203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利用万用表、电笔等测试其主要性能参数，安全等级及过流电阻是否正常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804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</w:t>
            </w:r>
          </w:p>
        </w:tc>
        <w:tc>
          <w:tcPr>
            <w:tcW w:w="141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人工费（电工）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班</w:t>
            </w:r>
          </w:p>
        </w:tc>
        <w:tc>
          <w:tcPr>
            <w:tcW w:w="984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--</w:t>
            </w: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浪涌保护器安装</w:t>
            </w:r>
          </w:p>
        </w:tc>
        <w:tc>
          <w:tcPr>
            <w:tcW w:w="160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203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804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41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辅料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组</w:t>
            </w:r>
          </w:p>
        </w:tc>
        <w:tc>
          <w:tcPr>
            <w:tcW w:w="984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98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--</w:t>
            </w:r>
          </w:p>
        </w:tc>
        <w:tc>
          <w:tcPr>
            <w:tcW w:w="146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包含：焊条、支架、螺丝、螺母、电线，通鼻等</w:t>
            </w:r>
          </w:p>
        </w:tc>
        <w:tc>
          <w:tcPr>
            <w:tcW w:w="160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203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-</w:t>
            </w:r>
          </w:p>
        </w:tc>
      </w:tr>
    </w:tbl>
    <w:p>
      <w:pPr>
        <w:spacing w:line="560" w:lineRule="exact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spacing w:line="560" w:lineRule="exact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spacing w:line="560" w:lineRule="exact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spacing w:line="560" w:lineRule="exact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spacing w:line="560" w:lineRule="exact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spacing w:line="560" w:lineRule="exact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spacing w:line="560" w:lineRule="exact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spacing w:line="560" w:lineRule="exact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spacing w:line="560" w:lineRule="exact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spacing w:line="560" w:lineRule="exact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spacing w:line="560" w:lineRule="exact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spacing w:line="560" w:lineRule="exact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spacing w:line="560" w:lineRule="exact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spacing w:line="560" w:lineRule="exact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spacing w:line="560" w:lineRule="exact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spacing w:line="560" w:lineRule="exact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spacing w:line="560" w:lineRule="exact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spacing w:line="560" w:lineRule="exact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spacing w:line="560" w:lineRule="exact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spacing w:line="560" w:lineRule="exact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spacing w:line="560" w:lineRule="exact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spacing w:line="560" w:lineRule="exact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2、218-3办公楼</w:t>
      </w:r>
    </w:p>
    <w:tbl>
      <w:tblPr>
        <w:tblStyle w:val="31"/>
        <w:tblW w:w="10705" w:type="dxa"/>
        <w:tblInd w:w="-9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1242"/>
        <w:gridCol w:w="883"/>
        <w:gridCol w:w="983"/>
        <w:gridCol w:w="1267"/>
        <w:gridCol w:w="1367"/>
        <w:gridCol w:w="1933"/>
        <w:gridCol w:w="2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6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24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材料项目</w:t>
            </w:r>
          </w:p>
        </w:tc>
        <w:tc>
          <w:tcPr>
            <w:tcW w:w="88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98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工程量</w:t>
            </w:r>
          </w:p>
        </w:tc>
        <w:tc>
          <w:tcPr>
            <w:tcW w:w="126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leftChars="0" w:right="0" w:rightChars="0" w:firstLine="241" w:firstLineChars="100"/>
              <w:jc w:val="both"/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参数</w:t>
            </w:r>
          </w:p>
        </w:tc>
        <w:tc>
          <w:tcPr>
            <w:tcW w:w="136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施工要求</w:t>
            </w:r>
          </w:p>
        </w:tc>
        <w:tc>
          <w:tcPr>
            <w:tcW w:w="193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达到效果</w:t>
            </w:r>
          </w:p>
        </w:tc>
        <w:tc>
          <w:tcPr>
            <w:tcW w:w="226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验收标准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3" w:hRule="atLeast"/>
        </w:trPr>
        <w:tc>
          <w:tcPr>
            <w:tcW w:w="76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楼顶水箱间接闪带</w:t>
            </w:r>
          </w:p>
        </w:tc>
        <w:tc>
          <w:tcPr>
            <w:tcW w:w="88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m</w:t>
            </w:r>
          </w:p>
        </w:tc>
        <w:tc>
          <w:tcPr>
            <w:tcW w:w="98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26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直径8mm热镀锌圆钢</w:t>
            </w:r>
          </w:p>
        </w:tc>
        <w:tc>
          <w:tcPr>
            <w:tcW w:w="136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长8宽4楼顶女儿墙铺设接闪带</w:t>
            </w:r>
          </w:p>
        </w:tc>
        <w:tc>
          <w:tcPr>
            <w:tcW w:w="193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安装完成后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屋面设施应处于直击雷保护范围内,保证其防雷设施的有效性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26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接闪器的材料规格、结构、最小截面和安装方式等应符合 GB50057—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2010 中 4.2.4、4.3.1、4.4.1 及 5.2 的规定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76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4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楼梯间接闪带</w:t>
            </w:r>
          </w:p>
        </w:tc>
        <w:tc>
          <w:tcPr>
            <w:tcW w:w="88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m</w:t>
            </w:r>
          </w:p>
        </w:tc>
        <w:tc>
          <w:tcPr>
            <w:tcW w:w="98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6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直径8mm热镀锌圆钢</w:t>
            </w:r>
          </w:p>
        </w:tc>
        <w:tc>
          <w:tcPr>
            <w:tcW w:w="136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长2宽2楼顶女儿墙铺设接闪带</w:t>
            </w:r>
          </w:p>
        </w:tc>
        <w:tc>
          <w:tcPr>
            <w:tcW w:w="193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安装完成后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屋面设施应处于直击雷保护范围内,保证其防雷设施的有效性</w:t>
            </w:r>
          </w:p>
        </w:tc>
        <w:tc>
          <w:tcPr>
            <w:tcW w:w="226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接闪器的材料规格、结构、最小截面和安装方式等应符合 GB50057—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2010 中 4.2.4、4.3.1、4.4.1 及 5.2 的规定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6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4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二级浪涌保护器</w:t>
            </w:r>
          </w:p>
        </w:tc>
        <w:tc>
          <w:tcPr>
            <w:tcW w:w="88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98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6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UC：385V IN：20KA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Imax：40KA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UP：≤1.2KV</w:t>
            </w:r>
          </w:p>
        </w:tc>
        <w:tc>
          <w:tcPr>
            <w:tcW w:w="136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电梯机房配电箱</w:t>
            </w:r>
          </w:p>
        </w:tc>
        <w:tc>
          <w:tcPr>
            <w:tcW w:w="193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将线路上的瞬间过电压限制到一个安全的水平</w:t>
            </w:r>
          </w:p>
        </w:tc>
        <w:tc>
          <w:tcPr>
            <w:tcW w:w="226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测试其主要性能参数(如 Uc、In、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Imax、Iimp、Up 等)和安装工艺(连接导体的材质和导线截面，连接导线的色标，接线连接牢固程度)是否符合标准整体最大放电电流：8/20μs 、40KA；电压保护级别：≤1.5KV。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6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4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浪涌保护器前置空气开关</w:t>
            </w:r>
          </w:p>
        </w:tc>
        <w:tc>
          <w:tcPr>
            <w:tcW w:w="88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98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6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C32</w:t>
            </w:r>
          </w:p>
        </w:tc>
        <w:tc>
          <w:tcPr>
            <w:tcW w:w="136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电梯机房配电箱</w:t>
            </w:r>
          </w:p>
        </w:tc>
        <w:tc>
          <w:tcPr>
            <w:tcW w:w="193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配合浪涌保护器工作，保证浪涌保护器处于正常工作状态</w:t>
            </w:r>
          </w:p>
        </w:tc>
        <w:tc>
          <w:tcPr>
            <w:tcW w:w="226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利用万用表、电笔等测试其主要性能参数，安全等级及过流电阻是否正常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6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4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一级浪涌保护器</w:t>
            </w:r>
          </w:p>
        </w:tc>
        <w:tc>
          <w:tcPr>
            <w:tcW w:w="88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98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6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UC:275V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In:50KA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Iimp:50KA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UP:≤2.5KV</w:t>
            </w:r>
          </w:p>
        </w:tc>
        <w:tc>
          <w:tcPr>
            <w:tcW w:w="136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总配电室配电柜内</w:t>
            </w:r>
          </w:p>
        </w:tc>
        <w:tc>
          <w:tcPr>
            <w:tcW w:w="193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将线路上的瞬间过电压限制到一个安全的水平</w:t>
            </w:r>
          </w:p>
        </w:tc>
        <w:tc>
          <w:tcPr>
            <w:tcW w:w="226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测试其主要性能参数(如 Uc、In、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Imax、Iimp、Up 等)和安装工艺(连接导体的材质和导线截面，连接导线的色标，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接线连接牢固程度)是否符合标准要求：Iimp(10/350μs)不应小于12.5 kA，Up不高于2.5kV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6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4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空开</w:t>
            </w:r>
          </w:p>
        </w:tc>
        <w:tc>
          <w:tcPr>
            <w:tcW w:w="88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98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6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63A</w:t>
            </w:r>
          </w:p>
        </w:tc>
        <w:tc>
          <w:tcPr>
            <w:tcW w:w="136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总配机房配电箱</w:t>
            </w:r>
          </w:p>
        </w:tc>
        <w:tc>
          <w:tcPr>
            <w:tcW w:w="193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配合浪涌保护器工作，保证浪涌保护器处于正常工作状态</w:t>
            </w:r>
          </w:p>
        </w:tc>
        <w:tc>
          <w:tcPr>
            <w:tcW w:w="226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利用万用表、电笔等测试其主要性能参数，安全等级及过流电阻是否正常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76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4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设备跨接</w:t>
            </w:r>
          </w:p>
        </w:tc>
        <w:tc>
          <w:tcPr>
            <w:tcW w:w="88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处</w:t>
            </w:r>
          </w:p>
        </w:tc>
        <w:tc>
          <w:tcPr>
            <w:tcW w:w="98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6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16m²铜绞线</w:t>
            </w:r>
          </w:p>
        </w:tc>
        <w:tc>
          <w:tcPr>
            <w:tcW w:w="136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电梯机房及楼顶接闪带跨接</w:t>
            </w:r>
          </w:p>
        </w:tc>
        <w:tc>
          <w:tcPr>
            <w:tcW w:w="193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安装完成后，使两个跨接物之间处于同一等电位，保证其防雷安全保护效果</w:t>
            </w:r>
          </w:p>
        </w:tc>
        <w:tc>
          <w:tcPr>
            <w:tcW w:w="226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应检查跨接设备与共用接地装置的连接情况，如已实现连接，应进一步检查连接质量，连接导体的材料和尺寸是否符合标准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6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4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人工费（电工）</w:t>
            </w:r>
          </w:p>
        </w:tc>
        <w:tc>
          <w:tcPr>
            <w:tcW w:w="88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班</w:t>
            </w:r>
          </w:p>
        </w:tc>
        <w:tc>
          <w:tcPr>
            <w:tcW w:w="98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--</w:t>
            </w:r>
          </w:p>
        </w:tc>
        <w:tc>
          <w:tcPr>
            <w:tcW w:w="136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浪涌保护器安装</w:t>
            </w:r>
          </w:p>
        </w:tc>
        <w:tc>
          <w:tcPr>
            <w:tcW w:w="193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--</w:t>
            </w:r>
          </w:p>
        </w:tc>
        <w:tc>
          <w:tcPr>
            <w:tcW w:w="226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6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4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人工费（安装）</w:t>
            </w:r>
          </w:p>
        </w:tc>
        <w:tc>
          <w:tcPr>
            <w:tcW w:w="88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班</w:t>
            </w:r>
          </w:p>
        </w:tc>
        <w:tc>
          <w:tcPr>
            <w:tcW w:w="98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--</w:t>
            </w:r>
          </w:p>
        </w:tc>
        <w:tc>
          <w:tcPr>
            <w:tcW w:w="136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接闪带安装</w:t>
            </w:r>
          </w:p>
        </w:tc>
        <w:tc>
          <w:tcPr>
            <w:tcW w:w="193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--</w:t>
            </w:r>
          </w:p>
        </w:tc>
        <w:tc>
          <w:tcPr>
            <w:tcW w:w="226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</w:trPr>
        <w:tc>
          <w:tcPr>
            <w:tcW w:w="76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24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辅料</w:t>
            </w:r>
          </w:p>
        </w:tc>
        <w:tc>
          <w:tcPr>
            <w:tcW w:w="88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组</w:t>
            </w:r>
          </w:p>
        </w:tc>
        <w:tc>
          <w:tcPr>
            <w:tcW w:w="98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6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--</w:t>
            </w:r>
          </w:p>
        </w:tc>
        <w:tc>
          <w:tcPr>
            <w:tcW w:w="136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包含：焊条、支架、螺丝、螺母、电线，通鼻等</w:t>
            </w:r>
          </w:p>
        </w:tc>
        <w:tc>
          <w:tcPr>
            <w:tcW w:w="193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--</w:t>
            </w:r>
          </w:p>
        </w:tc>
        <w:tc>
          <w:tcPr>
            <w:tcW w:w="226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--</w:t>
            </w:r>
          </w:p>
        </w:tc>
      </w:tr>
    </w:tbl>
    <w:p>
      <w:pPr>
        <w:keepNext w:val="0"/>
        <w:keepLines w:val="0"/>
        <w:suppressLineNumbers w:val="0"/>
        <w:spacing w:before="0" w:beforeAutospacing="0" w:after="0" w:afterAutospacing="0" w:line="240" w:lineRule="auto"/>
        <w:ind w:left="0" w:right="0"/>
        <w:jc w:val="center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jc w:val="both"/>
        <w:rPr>
          <w:rFonts w:hint="eastAsia" w:ascii="宋体" w:hAnsi="宋体" w:cs="宋体"/>
          <w:b w:val="0"/>
          <w:bCs w:val="0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3、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小二楼岗亭附近</w:t>
      </w:r>
      <w:r>
        <w:rPr>
          <w:rFonts w:hint="eastAsia" w:ascii="宋体" w:hAnsi="宋体" w:cs="宋体"/>
          <w:b/>
          <w:bCs/>
          <w:sz w:val="32"/>
          <w:szCs w:val="32"/>
        </w:rPr>
        <w:t>树木防雷</w:t>
      </w:r>
    </w:p>
    <w:tbl>
      <w:tblPr>
        <w:tblStyle w:val="31"/>
        <w:tblpPr w:leftFromText="180" w:rightFromText="180" w:vertAnchor="text" w:horzAnchor="page" w:tblpX="981" w:tblpY="177"/>
        <w:tblOverlap w:val="never"/>
        <w:tblW w:w="106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306"/>
        <w:gridCol w:w="1117"/>
        <w:gridCol w:w="1000"/>
        <w:gridCol w:w="1850"/>
        <w:gridCol w:w="2367"/>
        <w:gridCol w:w="2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3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30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111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型号</w:t>
            </w:r>
          </w:p>
        </w:tc>
        <w:tc>
          <w:tcPr>
            <w:tcW w:w="100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工程量</w:t>
            </w:r>
          </w:p>
        </w:tc>
        <w:tc>
          <w:tcPr>
            <w:tcW w:w="185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施工要求</w:t>
            </w:r>
          </w:p>
        </w:tc>
        <w:tc>
          <w:tcPr>
            <w:tcW w:w="236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达到效果</w:t>
            </w:r>
          </w:p>
        </w:tc>
        <w:tc>
          <w:tcPr>
            <w:tcW w:w="211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验收标准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93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0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树木避雷针制作</w:t>
            </w:r>
          </w:p>
        </w:tc>
        <w:tc>
          <w:tcPr>
            <w:tcW w:w="111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3m避雷针</w:t>
            </w:r>
          </w:p>
        </w:tc>
        <w:tc>
          <w:tcPr>
            <w:tcW w:w="100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1根</w:t>
            </w:r>
          </w:p>
        </w:tc>
        <w:tc>
          <w:tcPr>
            <w:tcW w:w="185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在树木最顶端制作一根3m避雷针做为接闪装置</w:t>
            </w:r>
          </w:p>
        </w:tc>
        <w:tc>
          <w:tcPr>
            <w:tcW w:w="236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利用接闪杆接闪，确保在发生雷击自然灾害时，保证树木和岗亭安全</w:t>
            </w:r>
          </w:p>
        </w:tc>
        <w:tc>
          <w:tcPr>
            <w:tcW w:w="211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符合DB11/T1430-2017 《古树名木雷电防护技术规范》要求。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接闪器的材料规格、结构、最小截面和安装方式等应符合 GB50057— 2010 中 4.2.4、4.3.1、4.4.1 及 5.2 的规定。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93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0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避雷针树木抱箍固定</w:t>
            </w:r>
          </w:p>
        </w:tc>
        <w:tc>
          <w:tcPr>
            <w:tcW w:w="111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绝缘抱箍</w:t>
            </w:r>
          </w:p>
        </w:tc>
        <w:tc>
          <w:tcPr>
            <w:tcW w:w="100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4个</w:t>
            </w:r>
          </w:p>
        </w:tc>
        <w:tc>
          <w:tcPr>
            <w:tcW w:w="185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避雷针及引下线采用可调动抱箍固方式定在树木上。抱箍垫层采用橡胶垫。</w:t>
            </w:r>
          </w:p>
        </w:tc>
        <w:tc>
          <w:tcPr>
            <w:tcW w:w="236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保证其接闪杆安装的稳定性，固定牢靠。并且不对树木本身造成影响和破坏。</w:t>
            </w:r>
          </w:p>
        </w:tc>
        <w:tc>
          <w:tcPr>
            <w:tcW w:w="211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测试其抱箍承受拉力、抱箍的松紧程度，及隔热能力。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93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0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引下线安装</w:t>
            </w:r>
          </w:p>
        </w:tc>
        <w:tc>
          <w:tcPr>
            <w:tcW w:w="111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BV95mm²</w:t>
            </w:r>
          </w:p>
        </w:tc>
        <w:tc>
          <w:tcPr>
            <w:tcW w:w="100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9m</w:t>
            </w:r>
          </w:p>
        </w:tc>
        <w:tc>
          <w:tcPr>
            <w:tcW w:w="185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采用有绝缘外皮的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铜绞线沿树身向地面敷设。</w:t>
            </w:r>
          </w:p>
        </w:tc>
        <w:tc>
          <w:tcPr>
            <w:tcW w:w="236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确保在发生雷击自然灾害时，能够有效的进行雷电流释放引下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11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检查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各部件之间均应连成电气通路。引下线无急弯，顺直等。引下线的材料规格应符合 GB50057—2010 中 5.3 的规定。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8" w:hRule="atLeast"/>
        </w:trPr>
        <w:tc>
          <w:tcPr>
            <w:tcW w:w="93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0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引下线保护套管</w:t>
            </w:r>
          </w:p>
        </w:tc>
        <w:tc>
          <w:tcPr>
            <w:tcW w:w="111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3M护管</w:t>
            </w:r>
          </w:p>
        </w:tc>
        <w:tc>
          <w:tcPr>
            <w:tcW w:w="100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1组</w:t>
            </w:r>
          </w:p>
        </w:tc>
        <w:tc>
          <w:tcPr>
            <w:tcW w:w="185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护管采用交联聚乙烯管DN32mm*3.2mm，引下线抱箍采用不锈钢，垫层采用橡胶垫。</w:t>
            </w:r>
          </w:p>
        </w:tc>
        <w:tc>
          <w:tcPr>
            <w:tcW w:w="236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保护引下线在人员易接触位置处的安全性，增加其绝缘性，保证附近人员及建筑物安全。</w:t>
            </w:r>
          </w:p>
        </w:tc>
        <w:tc>
          <w:tcPr>
            <w:tcW w:w="211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检查其所用材料符合绝缘要求，符合隔热要求，安装位置是否正确。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</w:trPr>
        <w:tc>
          <w:tcPr>
            <w:tcW w:w="93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0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接地装置</w:t>
            </w:r>
          </w:p>
        </w:tc>
        <w:tc>
          <w:tcPr>
            <w:tcW w:w="111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10m接地装置</w:t>
            </w:r>
          </w:p>
        </w:tc>
        <w:tc>
          <w:tcPr>
            <w:tcW w:w="100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1组</w:t>
            </w:r>
          </w:p>
        </w:tc>
        <w:tc>
          <w:tcPr>
            <w:tcW w:w="185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采用水平接地体与垂直接地体配合组成接地装置</w:t>
            </w:r>
          </w:p>
        </w:tc>
        <w:tc>
          <w:tcPr>
            <w:tcW w:w="236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设立地下电流导通装置，置于地下接入大地从而起到电流导通的作用</w:t>
            </w:r>
          </w:p>
        </w:tc>
        <w:tc>
          <w:tcPr>
            <w:tcW w:w="211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检查接地体的埋设间距、深度、安装方法，检查接地装置的材质、连接方法、防腐处理，都应符合 GB 50057—2010 中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5.4 的规定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93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0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人工费用</w:t>
            </w:r>
          </w:p>
        </w:tc>
        <w:tc>
          <w:tcPr>
            <w:tcW w:w="111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100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5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36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11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</w:tbl>
    <w:p>
      <w:pPr>
        <w:widowControl/>
        <w:spacing w:line="360" w:lineRule="auto"/>
        <w:jc w:val="left"/>
        <w:rPr>
          <w:rFonts w:ascii="宋体" w:hAnsi="宋体"/>
          <w:sz w:val="24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 w:eastAsia="仿宋_GB2312"/>
          <w:color w:val="000000"/>
          <w:sz w:val="28"/>
          <w:szCs w:val="28"/>
          <w:lang w:eastAsia="zh-CN"/>
        </w:rPr>
        <w:t>注：浪涌保护器均提供</w:t>
      </w:r>
      <w:bookmarkStart w:id="0" w:name="_GoBack"/>
      <w:bookmarkEnd w:id="0"/>
      <w:r>
        <w:rPr>
          <w:rFonts w:hint="eastAsia" w:eastAsia="仿宋_GB2312"/>
          <w:color w:val="000000"/>
          <w:sz w:val="28"/>
          <w:szCs w:val="28"/>
          <w:lang w:eastAsia="zh-CN"/>
        </w:rPr>
        <w:t>合格证。完工出具雷电防护装置检测甲级及以上</w:t>
      </w:r>
      <w:r>
        <w:rPr>
          <w:rFonts w:hint="eastAsia" w:eastAsia="仿宋_GB2312"/>
          <w:color w:val="000000"/>
          <w:sz w:val="28"/>
          <w:szCs w:val="28"/>
        </w:rPr>
        <w:t>资质</w:t>
      </w:r>
      <w:r>
        <w:rPr>
          <w:rFonts w:hint="eastAsia" w:eastAsia="仿宋_GB2312"/>
          <w:color w:val="000000"/>
          <w:sz w:val="28"/>
          <w:szCs w:val="28"/>
          <w:lang w:eastAsia="zh-CN"/>
        </w:rPr>
        <w:t>单位</w:t>
      </w:r>
      <w:r>
        <w:rPr>
          <w:rFonts w:hint="eastAsia" w:eastAsia="仿宋_GB2312"/>
          <w:color w:val="000000"/>
          <w:sz w:val="28"/>
          <w:szCs w:val="28"/>
        </w:rPr>
        <w:t>（在北京市气象局http://bj.cma.gov.cn/中可查）</w:t>
      </w:r>
      <w:r>
        <w:rPr>
          <w:rFonts w:hint="eastAsia" w:eastAsia="仿宋_GB2312"/>
          <w:color w:val="000000"/>
          <w:sz w:val="28"/>
          <w:szCs w:val="28"/>
          <w:lang w:eastAsia="zh-CN"/>
        </w:rPr>
        <w:t>提供的检测报告。</w:t>
      </w:r>
    </w:p>
    <w:sectPr>
      <w:headerReference r:id="rId3" w:type="default"/>
      <w:footerReference r:id="rId4" w:type="default"/>
      <w:footerReference r:id="rId5" w:type="even"/>
      <w:pgSz w:w="11906" w:h="16838"/>
      <w:pgMar w:top="1558" w:right="1028" w:bottom="779" w:left="1418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framePr w:wrap="around" w:vAnchor="text" w:hAnchor="margin" w:xAlign="right" w:y="1"/>
      <w:rPr>
        <w:rStyle w:val="36"/>
      </w:rPr>
    </w:pPr>
    <w:r>
      <w:fldChar w:fldCharType="begin"/>
    </w:r>
    <w:r>
      <w:rPr>
        <w:rStyle w:val="36"/>
      </w:rPr>
      <w:instrText xml:space="preserve">PAGE  </w:instrText>
    </w:r>
    <w:r>
      <w:fldChar w:fldCharType="end"/>
    </w:r>
  </w:p>
  <w:p>
    <w:pPr>
      <w:pStyle w:val="21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rFonts w:hint="eastAsia"/>
        <w:color w:val="000000"/>
        <w:sz w:val="24"/>
      </w:rPr>
    </w:pPr>
    <w:r>
      <w:rPr>
        <w:rFonts w:hint="eastAsia"/>
        <w:color w:val="000000"/>
      </w:rPr>
      <w:t xml:space="preserve">                                         </w:t>
    </w:r>
    <w:r>
      <w:rPr>
        <w:rFonts w:hint="eastAsia"/>
        <w:color w:val="000000"/>
        <w:sz w:val="24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62B1211"/>
    <w:multiLevelType w:val="multilevel"/>
    <w:tmpl w:val="762B1211"/>
    <w:lvl w:ilvl="0" w:tentative="0">
      <w:start w:val="1"/>
      <w:numFmt w:val="chineseCountingThousand"/>
      <w:pStyle w:val="41"/>
      <w:lvlText w:val="%1.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1" w:tentative="0">
      <w:start w:val="1"/>
      <w:numFmt w:val="decimal"/>
      <w:lvlText w:val="（%2）"/>
      <w:lvlJc w:val="left"/>
      <w:pPr>
        <w:tabs>
          <w:tab w:val="left" w:pos="851"/>
        </w:tabs>
        <w:ind w:left="851" w:hanging="851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0Y2M4OWY0NWYxYzVlMTkxYmI5MTQwM2JhYTVlNjcifQ=="/>
  </w:docVars>
  <w:rsids>
    <w:rsidRoot w:val="00172A27"/>
    <w:rsid w:val="00005CD6"/>
    <w:rsid w:val="00005F0F"/>
    <w:rsid w:val="000101E7"/>
    <w:rsid w:val="000172A8"/>
    <w:rsid w:val="0002072B"/>
    <w:rsid w:val="00021E2D"/>
    <w:rsid w:val="00024CE7"/>
    <w:rsid w:val="00026F1B"/>
    <w:rsid w:val="0003013C"/>
    <w:rsid w:val="00032677"/>
    <w:rsid w:val="000366D6"/>
    <w:rsid w:val="00044C4F"/>
    <w:rsid w:val="00045089"/>
    <w:rsid w:val="00053F85"/>
    <w:rsid w:val="00055AB2"/>
    <w:rsid w:val="00062605"/>
    <w:rsid w:val="0006274F"/>
    <w:rsid w:val="000642E9"/>
    <w:rsid w:val="000644B5"/>
    <w:rsid w:val="000674BB"/>
    <w:rsid w:val="00071120"/>
    <w:rsid w:val="00081210"/>
    <w:rsid w:val="00095505"/>
    <w:rsid w:val="000965D2"/>
    <w:rsid w:val="000A61A2"/>
    <w:rsid w:val="000B115D"/>
    <w:rsid w:val="000C28A4"/>
    <w:rsid w:val="000C3F13"/>
    <w:rsid w:val="000C64DD"/>
    <w:rsid w:val="000D185E"/>
    <w:rsid w:val="000D1A9D"/>
    <w:rsid w:val="000E0865"/>
    <w:rsid w:val="000E0B41"/>
    <w:rsid w:val="000E142B"/>
    <w:rsid w:val="000E1E35"/>
    <w:rsid w:val="000F255D"/>
    <w:rsid w:val="00111FD7"/>
    <w:rsid w:val="00112038"/>
    <w:rsid w:val="00115533"/>
    <w:rsid w:val="00121E74"/>
    <w:rsid w:val="0012482B"/>
    <w:rsid w:val="0012557C"/>
    <w:rsid w:val="00132771"/>
    <w:rsid w:val="00132BC1"/>
    <w:rsid w:val="00135FB6"/>
    <w:rsid w:val="00136915"/>
    <w:rsid w:val="00136A5E"/>
    <w:rsid w:val="0014040F"/>
    <w:rsid w:val="0014159F"/>
    <w:rsid w:val="00146A71"/>
    <w:rsid w:val="0015040B"/>
    <w:rsid w:val="00157541"/>
    <w:rsid w:val="00157867"/>
    <w:rsid w:val="00161D65"/>
    <w:rsid w:val="00162295"/>
    <w:rsid w:val="00166293"/>
    <w:rsid w:val="0016718F"/>
    <w:rsid w:val="001709EC"/>
    <w:rsid w:val="00183373"/>
    <w:rsid w:val="001951E9"/>
    <w:rsid w:val="001A2FE9"/>
    <w:rsid w:val="001B1120"/>
    <w:rsid w:val="001C34CD"/>
    <w:rsid w:val="001C48C5"/>
    <w:rsid w:val="001D1D14"/>
    <w:rsid w:val="001D3E42"/>
    <w:rsid w:val="001D5ADF"/>
    <w:rsid w:val="001D7696"/>
    <w:rsid w:val="001E27B2"/>
    <w:rsid w:val="001E40BB"/>
    <w:rsid w:val="001E637A"/>
    <w:rsid w:val="001F2689"/>
    <w:rsid w:val="001F35A2"/>
    <w:rsid w:val="001F51CC"/>
    <w:rsid w:val="0020259E"/>
    <w:rsid w:val="00206003"/>
    <w:rsid w:val="00214273"/>
    <w:rsid w:val="00221108"/>
    <w:rsid w:val="00221FE6"/>
    <w:rsid w:val="0023047C"/>
    <w:rsid w:val="00247DC4"/>
    <w:rsid w:val="00252916"/>
    <w:rsid w:val="0026035D"/>
    <w:rsid w:val="0026509D"/>
    <w:rsid w:val="00271EAB"/>
    <w:rsid w:val="00277117"/>
    <w:rsid w:val="002919A0"/>
    <w:rsid w:val="002947DD"/>
    <w:rsid w:val="00294B60"/>
    <w:rsid w:val="00296466"/>
    <w:rsid w:val="002A1BB5"/>
    <w:rsid w:val="002A45B6"/>
    <w:rsid w:val="002B3B45"/>
    <w:rsid w:val="002B4A88"/>
    <w:rsid w:val="002B66B5"/>
    <w:rsid w:val="002C2104"/>
    <w:rsid w:val="002C4793"/>
    <w:rsid w:val="002D6DF9"/>
    <w:rsid w:val="002E0702"/>
    <w:rsid w:val="002E1BE6"/>
    <w:rsid w:val="002E65D2"/>
    <w:rsid w:val="002F097E"/>
    <w:rsid w:val="002F219D"/>
    <w:rsid w:val="002F79BC"/>
    <w:rsid w:val="00306EA8"/>
    <w:rsid w:val="00310952"/>
    <w:rsid w:val="00312087"/>
    <w:rsid w:val="00314798"/>
    <w:rsid w:val="0031529C"/>
    <w:rsid w:val="003161A1"/>
    <w:rsid w:val="0032105C"/>
    <w:rsid w:val="0033468E"/>
    <w:rsid w:val="00340085"/>
    <w:rsid w:val="003413E6"/>
    <w:rsid w:val="00341F63"/>
    <w:rsid w:val="00346F99"/>
    <w:rsid w:val="003615A8"/>
    <w:rsid w:val="00361D24"/>
    <w:rsid w:val="0036275E"/>
    <w:rsid w:val="00365A4C"/>
    <w:rsid w:val="00366D43"/>
    <w:rsid w:val="00367398"/>
    <w:rsid w:val="0038119A"/>
    <w:rsid w:val="003841F8"/>
    <w:rsid w:val="00391E40"/>
    <w:rsid w:val="0039409C"/>
    <w:rsid w:val="00394333"/>
    <w:rsid w:val="0039502A"/>
    <w:rsid w:val="003A314C"/>
    <w:rsid w:val="003A3BBC"/>
    <w:rsid w:val="003A47EF"/>
    <w:rsid w:val="003A5441"/>
    <w:rsid w:val="003A5A1D"/>
    <w:rsid w:val="003C4A96"/>
    <w:rsid w:val="003C644D"/>
    <w:rsid w:val="003D0CAA"/>
    <w:rsid w:val="003D6926"/>
    <w:rsid w:val="003D6BF6"/>
    <w:rsid w:val="003E00DF"/>
    <w:rsid w:val="003E373E"/>
    <w:rsid w:val="003F227B"/>
    <w:rsid w:val="003F3CD1"/>
    <w:rsid w:val="00401749"/>
    <w:rsid w:val="00407D25"/>
    <w:rsid w:val="00422102"/>
    <w:rsid w:val="00423390"/>
    <w:rsid w:val="00425561"/>
    <w:rsid w:val="00430906"/>
    <w:rsid w:val="00432E65"/>
    <w:rsid w:val="0044708B"/>
    <w:rsid w:val="00463CBE"/>
    <w:rsid w:val="00464B69"/>
    <w:rsid w:val="004714EE"/>
    <w:rsid w:val="004737A7"/>
    <w:rsid w:val="00473F8F"/>
    <w:rsid w:val="00475FC8"/>
    <w:rsid w:val="00476771"/>
    <w:rsid w:val="00490F83"/>
    <w:rsid w:val="004978D3"/>
    <w:rsid w:val="004C2733"/>
    <w:rsid w:val="004C6FA7"/>
    <w:rsid w:val="004D5FB5"/>
    <w:rsid w:val="004D6F0F"/>
    <w:rsid w:val="004E5C3D"/>
    <w:rsid w:val="004E637E"/>
    <w:rsid w:val="004F150B"/>
    <w:rsid w:val="004F4FEE"/>
    <w:rsid w:val="004F5060"/>
    <w:rsid w:val="00500B35"/>
    <w:rsid w:val="0050368B"/>
    <w:rsid w:val="0051206F"/>
    <w:rsid w:val="00515C72"/>
    <w:rsid w:val="00521AA3"/>
    <w:rsid w:val="00523A80"/>
    <w:rsid w:val="005265DD"/>
    <w:rsid w:val="005279EE"/>
    <w:rsid w:val="00530DA2"/>
    <w:rsid w:val="00543BE2"/>
    <w:rsid w:val="00544A7C"/>
    <w:rsid w:val="00545C38"/>
    <w:rsid w:val="00545F98"/>
    <w:rsid w:val="00546428"/>
    <w:rsid w:val="005570A2"/>
    <w:rsid w:val="00557215"/>
    <w:rsid w:val="0056252D"/>
    <w:rsid w:val="005645F8"/>
    <w:rsid w:val="0056618E"/>
    <w:rsid w:val="00575ED5"/>
    <w:rsid w:val="0058161A"/>
    <w:rsid w:val="0059449E"/>
    <w:rsid w:val="005A485E"/>
    <w:rsid w:val="005C2C06"/>
    <w:rsid w:val="005C420F"/>
    <w:rsid w:val="005D2A20"/>
    <w:rsid w:val="005D7532"/>
    <w:rsid w:val="005E6AC5"/>
    <w:rsid w:val="005F016B"/>
    <w:rsid w:val="006017CC"/>
    <w:rsid w:val="00602741"/>
    <w:rsid w:val="00610405"/>
    <w:rsid w:val="00622007"/>
    <w:rsid w:val="006272EF"/>
    <w:rsid w:val="0063041C"/>
    <w:rsid w:val="00630BD9"/>
    <w:rsid w:val="00636020"/>
    <w:rsid w:val="00643AB0"/>
    <w:rsid w:val="00651234"/>
    <w:rsid w:val="0065420F"/>
    <w:rsid w:val="0066062A"/>
    <w:rsid w:val="006644DD"/>
    <w:rsid w:val="0066529D"/>
    <w:rsid w:val="00670D04"/>
    <w:rsid w:val="00673D3F"/>
    <w:rsid w:val="00681CFB"/>
    <w:rsid w:val="00681E25"/>
    <w:rsid w:val="00685673"/>
    <w:rsid w:val="00686559"/>
    <w:rsid w:val="00694C29"/>
    <w:rsid w:val="006970F1"/>
    <w:rsid w:val="006A6DA7"/>
    <w:rsid w:val="006B1797"/>
    <w:rsid w:val="006B19F2"/>
    <w:rsid w:val="006B1A68"/>
    <w:rsid w:val="006B26E6"/>
    <w:rsid w:val="006C1D3D"/>
    <w:rsid w:val="006C212D"/>
    <w:rsid w:val="006C53DE"/>
    <w:rsid w:val="006D08EB"/>
    <w:rsid w:val="006D0DCE"/>
    <w:rsid w:val="006D1FB6"/>
    <w:rsid w:val="006D379A"/>
    <w:rsid w:val="006D7D85"/>
    <w:rsid w:val="006E05C2"/>
    <w:rsid w:val="006E7155"/>
    <w:rsid w:val="006E7D6F"/>
    <w:rsid w:val="006F3F19"/>
    <w:rsid w:val="006F455B"/>
    <w:rsid w:val="006F4879"/>
    <w:rsid w:val="00710C76"/>
    <w:rsid w:val="007171BA"/>
    <w:rsid w:val="0072389D"/>
    <w:rsid w:val="0073055C"/>
    <w:rsid w:val="007325C8"/>
    <w:rsid w:val="00734D4A"/>
    <w:rsid w:val="00734FD2"/>
    <w:rsid w:val="00737539"/>
    <w:rsid w:val="00741C17"/>
    <w:rsid w:val="00744D4F"/>
    <w:rsid w:val="007479F6"/>
    <w:rsid w:val="00750C05"/>
    <w:rsid w:val="00754802"/>
    <w:rsid w:val="007740CE"/>
    <w:rsid w:val="007814E3"/>
    <w:rsid w:val="007864BF"/>
    <w:rsid w:val="00790744"/>
    <w:rsid w:val="00792AA3"/>
    <w:rsid w:val="00793999"/>
    <w:rsid w:val="00795B92"/>
    <w:rsid w:val="007A32DD"/>
    <w:rsid w:val="007A5566"/>
    <w:rsid w:val="007A5601"/>
    <w:rsid w:val="007A5C11"/>
    <w:rsid w:val="007B025F"/>
    <w:rsid w:val="007B3CD9"/>
    <w:rsid w:val="007B5BC9"/>
    <w:rsid w:val="007C0A2A"/>
    <w:rsid w:val="007C6DCC"/>
    <w:rsid w:val="007D04FF"/>
    <w:rsid w:val="007D2268"/>
    <w:rsid w:val="007D48AD"/>
    <w:rsid w:val="007E1F47"/>
    <w:rsid w:val="007E50F1"/>
    <w:rsid w:val="007F0AED"/>
    <w:rsid w:val="007F12DC"/>
    <w:rsid w:val="007F154A"/>
    <w:rsid w:val="007F161D"/>
    <w:rsid w:val="007F191D"/>
    <w:rsid w:val="00801022"/>
    <w:rsid w:val="008026C5"/>
    <w:rsid w:val="008258AE"/>
    <w:rsid w:val="008329C7"/>
    <w:rsid w:val="00834A9D"/>
    <w:rsid w:val="008356B1"/>
    <w:rsid w:val="00846600"/>
    <w:rsid w:val="008559EE"/>
    <w:rsid w:val="00862C5A"/>
    <w:rsid w:val="00866171"/>
    <w:rsid w:val="00872115"/>
    <w:rsid w:val="00872C83"/>
    <w:rsid w:val="00873F09"/>
    <w:rsid w:val="008742DE"/>
    <w:rsid w:val="00877910"/>
    <w:rsid w:val="008824DA"/>
    <w:rsid w:val="00885063"/>
    <w:rsid w:val="0088570B"/>
    <w:rsid w:val="008930C2"/>
    <w:rsid w:val="008A00DE"/>
    <w:rsid w:val="008A134A"/>
    <w:rsid w:val="008A14E9"/>
    <w:rsid w:val="008A1623"/>
    <w:rsid w:val="008A2733"/>
    <w:rsid w:val="008A2782"/>
    <w:rsid w:val="008A7CA3"/>
    <w:rsid w:val="008B24CE"/>
    <w:rsid w:val="008B5FFC"/>
    <w:rsid w:val="008B605B"/>
    <w:rsid w:val="008B643C"/>
    <w:rsid w:val="008B69FB"/>
    <w:rsid w:val="008B7DEB"/>
    <w:rsid w:val="008C2FFC"/>
    <w:rsid w:val="008D0CD8"/>
    <w:rsid w:val="008D39C8"/>
    <w:rsid w:val="008D6152"/>
    <w:rsid w:val="008D6233"/>
    <w:rsid w:val="008D69E6"/>
    <w:rsid w:val="008E23AA"/>
    <w:rsid w:val="008E344E"/>
    <w:rsid w:val="008E421F"/>
    <w:rsid w:val="008E4435"/>
    <w:rsid w:val="008E7125"/>
    <w:rsid w:val="008F13FA"/>
    <w:rsid w:val="008F19E4"/>
    <w:rsid w:val="008F60CE"/>
    <w:rsid w:val="0090067C"/>
    <w:rsid w:val="00901470"/>
    <w:rsid w:val="0090567D"/>
    <w:rsid w:val="009065D1"/>
    <w:rsid w:val="009073FA"/>
    <w:rsid w:val="00913270"/>
    <w:rsid w:val="00914515"/>
    <w:rsid w:val="0092030E"/>
    <w:rsid w:val="009223B8"/>
    <w:rsid w:val="00932471"/>
    <w:rsid w:val="00935323"/>
    <w:rsid w:val="00935E4D"/>
    <w:rsid w:val="00945259"/>
    <w:rsid w:val="00945369"/>
    <w:rsid w:val="00946B08"/>
    <w:rsid w:val="00950DC9"/>
    <w:rsid w:val="00952846"/>
    <w:rsid w:val="00954193"/>
    <w:rsid w:val="009545F7"/>
    <w:rsid w:val="0096013E"/>
    <w:rsid w:val="00960643"/>
    <w:rsid w:val="00964661"/>
    <w:rsid w:val="00965FC6"/>
    <w:rsid w:val="009723BB"/>
    <w:rsid w:val="00975DF2"/>
    <w:rsid w:val="00980054"/>
    <w:rsid w:val="009845D4"/>
    <w:rsid w:val="009972DB"/>
    <w:rsid w:val="009A049A"/>
    <w:rsid w:val="009A35C5"/>
    <w:rsid w:val="009A43D6"/>
    <w:rsid w:val="009A7B95"/>
    <w:rsid w:val="009B0037"/>
    <w:rsid w:val="009B53B7"/>
    <w:rsid w:val="009D2083"/>
    <w:rsid w:val="009F5796"/>
    <w:rsid w:val="009F726C"/>
    <w:rsid w:val="00A0668D"/>
    <w:rsid w:val="00A07946"/>
    <w:rsid w:val="00A17757"/>
    <w:rsid w:val="00A2154A"/>
    <w:rsid w:val="00A230BC"/>
    <w:rsid w:val="00A2511D"/>
    <w:rsid w:val="00A2617B"/>
    <w:rsid w:val="00A26C49"/>
    <w:rsid w:val="00A365B4"/>
    <w:rsid w:val="00A42F19"/>
    <w:rsid w:val="00A43DD7"/>
    <w:rsid w:val="00A44324"/>
    <w:rsid w:val="00A47830"/>
    <w:rsid w:val="00A56E26"/>
    <w:rsid w:val="00A63C31"/>
    <w:rsid w:val="00A70194"/>
    <w:rsid w:val="00A732A8"/>
    <w:rsid w:val="00A732B9"/>
    <w:rsid w:val="00A736C7"/>
    <w:rsid w:val="00A750EE"/>
    <w:rsid w:val="00A76E6E"/>
    <w:rsid w:val="00A84A30"/>
    <w:rsid w:val="00A87CD2"/>
    <w:rsid w:val="00A87EA5"/>
    <w:rsid w:val="00A916AF"/>
    <w:rsid w:val="00A94800"/>
    <w:rsid w:val="00AB13BF"/>
    <w:rsid w:val="00AB2623"/>
    <w:rsid w:val="00AC34F6"/>
    <w:rsid w:val="00AD0376"/>
    <w:rsid w:val="00AD5D1E"/>
    <w:rsid w:val="00AF31D0"/>
    <w:rsid w:val="00AF42B4"/>
    <w:rsid w:val="00B003FE"/>
    <w:rsid w:val="00B03342"/>
    <w:rsid w:val="00B05679"/>
    <w:rsid w:val="00B06EAF"/>
    <w:rsid w:val="00B11393"/>
    <w:rsid w:val="00B2225E"/>
    <w:rsid w:val="00B2270F"/>
    <w:rsid w:val="00B27D5E"/>
    <w:rsid w:val="00B34A4F"/>
    <w:rsid w:val="00B34BB7"/>
    <w:rsid w:val="00B364CD"/>
    <w:rsid w:val="00B458AF"/>
    <w:rsid w:val="00B479B4"/>
    <w:rsid w:val="00B47F26"/>
    <w:rsid w:val="00B50310"/>
    <w:rsid w:val="00B54BAF"/>
    <w:rsid w:val="00B566A4"/>
    <w:rsid w:val="00B5688D"/>
    <w:rsid w:val="00B56A4F"/>
    <w:rsid w:val="00B6196B"/>
    <w:rsid w:val="00B6273F"/>
    <w:rsid w:val="00B64C6A"/>
    <w:rsid w:val="00B65784"/>
    <w:rsid w:val="00B6579A"/>
    <w:rsid w:val="00B7594F"/>
    <w:rsid w:val="00B90EA0"/>
    <w:rsid w:val="00BA07D2"/>
    <w:rsid w:val="00BA36F1"/>
    <w:rsid w:val="00BA44EE"/>
    <w:rsid w:val="00BB0A9D"/>
    <w:rsid w:val="00BB1587"/>
    <w:rsid w:val="00BB1D52"/>
    <w:rsid w:val="00BB2FAB"/>
    <w:rsid w:val="00BB3886"/>
    <w:rsid w:val="00BB416C"/>
    <w:rsid w:val="00BC01A3"/>
    <w:rsid w:val="00BC49DC"/>
    <w:rsid w:val="00BC4BC1"/>
    <w:rsid w:val="00BC4CD9"/>
    <w:rsid w:val="00BC4E48"/>
    <w:rsid w:val="00BC5C3A"/>
    <w:rsid w:val="00BC7F7C"/>
    <w:rsid w:val="00BD6317"/>
    <w:rsid w:val="00BE6E3B"/>
    <w:rsid w:val="00BF2B96"/>
    <w:rsid w:val="00BF4A40"/>
    <w:rsid w:val="00C05085"/>
    <w:rsid w:val="00C05D35"/>
    <w:rsid w:val="00C07E4E"/>
    <w:rsid w:val="00C152ED"/>
    <w:rsid w:val="00C224A7"/>
    <w:rsid w:val="00C2288E"/>
    <w:rsid w:val="00C22CFB"/>
    <w:rsid w:val="00C2493F"/>
    <w:rsid w:val="00C24D25"/>
    <w:rsid w:val="00C2576F"/>
    <w:rsid w:val="00C304A2"/>
    <w:rsid w:val="00C3111C"/>
    <w:rsid w:val="00C47CDB"/>
    <w:rsid w:val="00C503AE"/>
    <w:rsid w:val="00C53A89"/>
    <w:rsid w:val="00C54A81"/>
    <w:rsid w:val="00C56809"/>
    <w:rsid w:val="00C623E0"/>
    <w:rsid w:val="00C70A36"/>
    <w:rsid w:val="00C72887"/>
    <w:rsid w:val="00C820FA"/>
    <w:rsid w:val="00C821CA"/>
    <w:rsid w:val="00C82A69"/>
    <w:rsid w:val="00C8510E"/>
    <w:rsid w:val="00C86CB0"/>
    <w:rsid w:val="00C8737E"/>
    <w:rsid w:val="00C905B1"/>
    <w:rsid w:val="00C90E7F"/>
    <w:rsid w:val="00C911BC"/>
    <w:rsid w:val="00C9438D"/>
    <w:rsid w:val="00CA466C"/>
    <w:rsid w:val="00CA5830"/>
    <w:rsid w:val="00CB066F"/>
    <w:rsid w:val="00CB3DB2"/>
    <w:rsid w:val="00CB3E90"/>
    <w:rsid w:val="00CC06EC"/>
    <w:rsid w:val="00CC288E"/>
    <w:rsid w:val="00CC3EA2"/>
    <w:rsid w:val="00CD15B0"/>
    <w:rsid w:val="00CD2100"/>
    <w:rsid w:val="00CD22ED"/>
    <w:rsid w:val="00CD61FB"/>
    <w:rsid w:val="00CE36B1"/>
    <w:rsid w:val="00CE6F33"/>
    <w:rsid w:val="00CF16ED"/>
    <w:rsid w:val="00CF1892"/>
    <w:rsid w:val="00CF6A78"/>
    <w:rsid w:val="00D042E7"/>
    <w:rsid w:val="00D0575C"/>
    <w:rsid w:val="00D05B98"/>
    <w:rsid w:val="00D100B2"/>
    <w:rsid w:val="00D13B0A"/>
    <w:rsid w:val="00D15A74"/>
    <w:rsid w:val="00D255BA"/>
    <w:rsid w:val="00D25CED"/>
    <w:rsid w:val="00D31A22"/>
    <w:rsid w:val="00D33983"/>
    <w:rsid w:val="00D349A0"/>
    <w:rsid w:val="00D3544F"/>
    <w:rsid w:val="00D36AC4"/>
    <w:rsid w:val="00D40159"/>
    <w:rsid w:val="00D412DF"/>
    <w:rsid w:val="00D425B7"/>
    <w:rsid w:val="00D52A33"/>
    <w:rsid w:val="00D60A0E"/>
    <w:rsid w:val="00D6183F"/>
    <w:rsid w:val="00D61911"/>
    <w:rsid w:val="00D62213"/>
    <w:rsid w:val="00D67538"/>
    <w:rsid w:val="00D77EA4"/>
    <w:rsid w:val="00D81F57"/>
    <w:rsid w:val="00D87C87"/>
    <w:rsid w:val="00D87E1D"/>
    <w:rsid w:val="00D9124F"/>
    <w:rsid w:val="00DB27B3"/>
    <w:rsid w:val="00DB59A1"/>
    <w:rsid w:val="00DB6AEB"/>
    <w:rsid w:val="00DC5E42"/>
    <w:rsid w:val="00DD6AC5"/>
    <w:rsid w:val="00DE0C0B"/>
    <w:rsid w:val="00DE15FF"/>
    <w:rsid w:val="00DE62B5"/>
    <w:rsid w:val="00E03566"/>
    <w:rsid w:val="00E07063"/>
    <w:rsid w:val="00E13EB6"/>
    <w:rsid w:val="00E14B84"/>
    <w:rsid w:val="00E14F02"/>
    <w:rsid w:val="00E1583E"/>
    <w:rsid w:val="00E15FC0"/>
    <w:rsid w:val="00E228A4"/>
    <w:rsid w:val="00E25548"/>
    <w:rsid w:val="00E33FD8"/>
    <w:rsid w:val="00E40C32"/>
    <w:rsid w:val="00E40C37"/>
    <w:rsid w:val="00E416A9"/>
    <w:rsid w:val="00E425F2"/>
    <w:rsid w:val="00E431B3"/>
    <w:rsid w:val="00E44F75"/>
    <w:rsid w:val="00E45224"/>
    <w:rsid w:val="00E46639"/>
    <w:rsid w:val="00E53C8F"/>
    <w:rsid w:val="00E56481"/>
    <w:rsid w:val="00E5746F"/>
    <w:rsid w:val="00E576BD"/>
    <w:rsid w:val="00E602DE"/>
    <w:rsid w:val="00E73F44"/>
    <w:rsid w:val="00E81A49"/>
    <w:rsid w:val="00E81FAF"/>
    <w:rsid w:val="00E84B12"/>
    <w:rsid w:val="00E85684"/>
    <w:rsid w:val="00E9079B"/>
    <w:rsid w:val="00EB39D3"/>
    <w:rsid w:val="00EB62E6"/>
    <w:rsid w:val="00EB6AA9"/>
    <w:rsid w:val="00EB7C3A"/>
    <w:rsid w:val="00EC35A4"/>
    <w:rsid w:val="00EC3C1E"/>
    <w:rsid w:val="00EC3CBB"/>
    <w:rsid w:val="00EC6E84"/>
    <w:rsid w:val="00EC6FEF"/>
    <w:rsid w:val="00ED7F64"/>
    <w:rsid w:val="00EE20D2"/>
    <w:rsid w:val="00EE37F0"/>
    <w:rsid w:val="00EE3C86"/>
    <w:rsid w:val="00EE7D03"/>
    <w:rsid w:val="00EF1267"/>
    <w:rsid w:val="00EF3D64"/>
    <w:rsid w:val="00EF633F"/>
    <w:rsid w:val="00EF6CEE"/>
    <w:rsid w:val="00F055A5"/>
    <w:rsid w:val="00F063E0"/>
    <w:rsid w:val="00F06B09"/>
    <w:rsid w:val="00F10427"/>
    <w:rsid w:val="00F12175"/>
    <w:rsid w:val="00F16ACE"/>
    <w:rsid w:val="00F221A8"/>
    <w:rsid w:val="00F35DA5"/>
    <w:rsid w:val="00F36CC9"/>
    <w:rsid w:val="00F41E2B"/>
    <w:rsid w:val="00F44717"/>
    <w:rsid w:val="00F46C25"/>
    <w:rsid w:val="00F57061"/>
    <w:rsid w:val="00F66849"/>
    <w:rsid w:val="00F735CF"/>
    <w:rsid w:val="00F748E6"/>
    <w:rsid w:val="00F7568D"/>
    <w:rsid w:val="00F758F6"/>
    <w:rsid w:val="00F7644C"/>
    <w:rsid w:val="00F80A0E"/>
    <w:rsid w:val="00F83777"/>
    <w:rsid w:val="00F84B58"/>
    <w:rsid w:val="00F87B55"/>
    <w:rsid w:val="00F921A4"/>
    <w:rsid w:val="00F94983"/>
    <w:rsid w:val="00F95FCF"/>
    <w:rsid w:val="00F96A72"/>
    <w:rsid w:val="00FA1AD7"/>
    <w:rsid w:val="00FA37CE"/>
    <w:rsid w:val="00FA435E"/>
    <w:rsid w:val="00FC0537"/>
    <w:rsid w:val="00FC5130"/>
    <w:rsid w:val="00FD22A2"/>
    <w:rsid w:val="00FD385B"/>
    <w:rsid w:val="00FE2277"/>
    <w:rsid w:val="00FE70D2"/>
    <w:rsid w:val="02705274"/>
    <w:rsid w:val="02844D03"/>
    <w:rsid w:val="03C427F9"/>
    <w:rsid w:val="04433F65"/>
    <w:rsid w:val="06313A3A"/>
    <w:rsid w:val="071F5763"/>
    <w:rsid w:val="07367DB5"/>
    <w:rsid w:val="07931DC8"/>
    <w:rsid w:val="08604D8B"/>
    <w:rsid w:val="08FE0A8A"/>
    <w:rsid w:val="09945DAC"/>
    <w:rsid w:val="0A0159AE"/>
    <w:rsid w:val="0A850229"/>
    <w:rsid w:val="0C001AA5"/>
    <w:rsid w:val="0CCD6508"/>
    <w:rsid w:val="0D956C37"/>
    <w:rsid w:val="0DB13EAA"/>
    <w:rsid w:val="0DF44E4D"/>
    <w:rsid w:val="0F125EE9"/>
    <w:rsid w:val="0F974E8D"/>
    <w:rsid w:val="109D7D02"/>
    <w:rsid w:val="118E5137"/>
    <w:rsid w:val="11DC0B38"/>
    <w:rsid w:val="12606E39"/>
    <w:rsid w:val="13775C61"/>
    <w:rsid w:val="15CD3129"/>
    <w:rsid w:val="16C436F8"/>
    <w:rsid w:val="187D5604"/>
    <w:rsid w:val="19471C92"/>
    <w:rsid w:val="1CCA216B"/>
    <w:rsid w:val="1D613CEA"/>
    <w:rsid w:val="1DA8646F"/>
    <w:rsid w:val="1DC7240A"/>
    <w:rsid w:val="1EA33E97"/>
    <w:rsid w:val="2025312C"/>
    <w:rsid w:val="253253EA"/>
    <w:rsid w:val="25BF3B48"/>
    <w:rsid w:val="27960705"/>
    <w:rsid w:val="281D31F5"/>
    <w:rsid w:val="289C4C88"/>
    <w:rsid w:val="29BE3102"/>
    <w:rsid w:val="2A9F6CDB"/>
    <w:rsid w:val="2C3E7916"/>
    <w:rsid w:val="2CA71C9B"/>
    <w:rsid w:val="2D1E25AF"/>
    <w:rsid w:val="2D961D38"/>
    <w:rsid w:val="2DC5058B"/>
    <w:rsid w:val="2F353F58"/>
    <w:rsid w:val="2FF656BB"/>
    <w:rsid w:val="306A4FDE"/>
    <w:rsid w:val="306B24B7"/>
    <w:rsid w:val="31891AA3"/>
    <w:rsid w:val="318E429D"/>
    <w:rsid w:val="3276283A"/>
    <w:rsid w:val="32BC48B0"/>
    <w:rsid w:val="330203DB"/>
    <w:rsid w:val="332A0E68"/>
    <w:rsid w:val="33F805C6"/>
    <w:rsid w:val="34B23D21"/>
    <w:rsid w:val="35022698"/>
    <w:rsid w:val="352A731E"/>
    <w:rsid w:val="35BB3C37"/>
    <w:rsid w:val="35FF3EA3"/>
    <w:rsid w:val="37163E8E"/>
    <w:rsid w:val="388F3042"/>
    <w:rsid w:val="39224800"/>
    <w:rsid w:val="3B205E99"/>
    <w:rsid w:val="3B3F43AF"/>
    <w:rsid w:val="3B4020CD"/>
    <w:rsid w:val="3B5658C9"/>
    <w:rsid w:val="3BFD44B8"/>
    <w:rsid w:val="3C164589"/>
    <w:rsid w:val="3C4A1944"/>
    <w:rsid w:val="3F043239"/>
    <w:rsid w:val="405E42F2"/>
    <w:rsid w:val="4062038D"/>
    <w:rsid w:val="40DB0173"/>
    <w:rsid w:val="415A42CA"/>
    <w:rsid w:val="41D46D78"/>
    <w:rsid w:val="41FC3F59"/>
    <w:rsid w:val="421200F7"/>
    <w:rsid w:val="42152F5F"/>
    <w:rsid w:val="4276513E"/>
    <w:rsid w:val="42BD1609"/>
    <w:rsid w:val="42CD585F"/>
    <w:rsid w:val="436A2095"/>
    <w:rsid w:val="44777FD1"/>
    <w:rsid w:val="455620FF"/>
    <w:rsid w:val="46626D07"/>
    <w:rsid w:val="46EC3B32"/>
    <w:rsid w:val="46F54593"/>
    <w:rsid w:val="476F6770"/>
    <w:rsid w:val="49295E97"/>
    <w:rsid w:val="49E574CA"/>
    <w:rsid w:val="4A9E6534"/>
    <w:rsid w:val="4B6E5E1C"/>
    <w:rsid w:val="4C080E8D"/>
    <w:rsid w:val="4C0B16FA"/>
    <w:rsid w:val="4C5B6536"/>
    <w:rsid w:val="4C813FB6"/>
    <w:rsid w:val="4CDD5075"/>
    <w:rsid w:val="4CF60E73"/>
    <w:rsid w:val="4D862275"/>
    <w:rsid w:val="4D9D70EE"/>
    <w:rsid w:val="4E823C52"/>
    <w:rsid w:val="513B1778"/>
    <w:rsid w:val="51E15A82"/>
    <w:rsid w:val="524C3E1D"/>
    <w:rsid w:val="53871019"/>
    <w:rsid w:val="543468E7"/>
    <w:rsid w:val="56D50E5D"/>
    <w:rsid w:val="56F97274"/>
    <w:rsid w:val="574B04B5"/>
    <w:rsid w:val="576167BA"/>
    <w:rsid w:val="57CF247F"/>
    <w:rsid w:val="58154828"/>
    <w:rsid w:val="58295363"/>
    <w:rsid w:val="59321B02"/>
    <w:rsid w:val="5A465FB9"/>
    <w:rsid w:val="5B0837BF"/>
    <w:rsid w:val="5C8F2367"/>
    <w:rsid w:val="5C9A7236"/>
    <w:rsid w:val="5D4F497E"/>
    <w:rsid w:val="5DC03F15"/>
    <w:rsid w:val="5E8A1F56"/>
    <w:rsid w:val="5EBA1FB3"/>
    <w:rsid w:val="5EBE5E8D"/>
    <w:rsid w:val="5F223BC2"/>
    <w:rsid w:val="5F6726EB"/>
    <w:rsid w:val="5FB40A4E"/>
    <w:rsid w:val="61217574"/>
    <w:rsid w:val="61B23BBC"/>
    <w:rsid w:val="61DC6640"/>
    <w:rsid w:val="62180893"/>
    <w:rsid w:val="635D47F5"/>
    <w:rsid w:val="64662B5A"/>
    <w:rsid w:val="655B0B17"/>
    <w:rsid w:val="65B546B9"/>
    <w:rsid w:val="675E4295"/>
    <w:rsid w:val="67650F4D"/>
    <w:rsid w:val="680A1369"/>
    <w:rsid w:val="688D5339"/>
    <w:rsid w:val="693456AF"/>
    <w:rsid w:val="6D7F7A4A"/>
    <w:rsid w:val="6DF24ED7"/>
    <w:rsid w:val="6E241FC2"/>
    <w:rsid w:val="6E6307D2"/>
    <w:rsid w:val="70317D81"/>
    <w:rsid w:val="70AC775D"/>
    <w:rsid w:val="70AF3BBD"/>
    <w:rsid w:val="70E31A44"/>
    <w:rsid w:val="71D032AA"/>
    <w:rsid w:val="71F25676"/>
    <w:rsid w:val="7209325C"/>
    <w:rsid w:val="757A45AA"/>
    <w:rsid w:val="76067762"/>
    <w:rsid w:val="76FD70FD"/>
    <w:rsid w:val="787D7C47"/>
    <w:rsid w:val="7925218A"/>
    <w:rsid w:val="79D90259"/>
    <w:rsid w:val="7BCF6898"/>
    <w:rsid w:val="7C760F60"/>
    <w:rsid w:val="7C9F165B"/>
    <w:rsid w:val="7D0404D5"/>
    <w:rsid w:val="7E0A38E8"/>
    <w:rsid w:val="7FB817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qFormat="1" w:unhideWhenUsed="0" w:uiPriority="0" w:semiHidden="0" w:name="Normal Indent"/>
    <w:lsdException w:qFormat="1" w:unhideWhenUsed="0" w:uiPriority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qFormat="1"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5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6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7">
    <w:name w:val="heading 7"/>
    <w:basedOn w:val="1"/>
    <w:next w:val="1"/>
    <w:qFormat/>
    <w:uiPriority w:val="0"/>
    <w:pPr>
      <w:keepNext/>
      <w:spacing w:before="120" w:after="120" w:line="360" w:lineRule="auto"/>
      <w:ind w:right="-36" w:rightChars="-17"/>
      <w:jc w:val="center"/>
      <w:outlineLvl w:val="6"/>
    </w:pPr>
    <w:rPr>
      <w:rFonts w:ascii="黑体" w:eastAsia="黑体"/>
      <w:b/>
      <w:bCs/>
      <w:szCs w:val="21"/>
    </w:rPr>
  </w:style>
  <w:style w:type="paragraph" w:styleId="8">
    <w:name w:val="heading 8"/>
    <w:basedOn w:val="1"/>
    <w:next w:val="1"/>
    <w:qFormat/>
    <w:uiPriority w:val="0"/>
    <w:pPr>
      <w:keepNext/>
      <w:spacing w:before="120" w:after="120" w:line="360" w:lineRule="auto"/>
      <w:ind w:right="-36" w:rightChars="-17"/>
      <w:jc w:val="center"/>
      <w:outlineLvl w:val="7"/>
    </w:pPr>
    <w:rPr>
      <w:rFonts w:ascii="黑体" w:eastAsia="黑体"/>
      <w:b/>
      <w:bCs/>
      <w:sz w:val="18"/>
      <w:szCs w:val="21"/>
    </w:rPr>
  </w:style>
  <w:style w:type="paragraph" w:styleId="9">
    <w:name w:val="heading 9"/>
    <w:basedOn w:val="1"/>
    <w:next w:val="1"/>
    <w:qFormat/>
    <w:uiPriority w:val="0"/>
    <w:pPr>
      <w:keepNext/>
      <w:framePr w:hSpace="180" w:wrap="notBeside" w:vAnchor="margin" w:hAnchor="margin" w:y="618"/>
      <w:spacing w:before="120" w:after="120" w:line="360" w:lineRule="auto"/>
      <w:ind w:right="-36" w:rightChars="-17"/>
      <w:outlineLvl w:val="8"/>
    </w:pPr>
    <w:rPr>
      <w:rFonts w:ascii="黑体" w:eastAsia="黑体"/>
      <w:b/>
      <w:bCs/>
      <w:szCs w:val="21"/>
    </w:rPr>
  </w:style>
  <w:style w:type="character" w:default="1" w:styleId="34">
    <w:name w:val="Default Paragraph Font"/>
    <w:semiHidden/>
    <w:qFormat/>
    <w:uiPriority w:val="0"/>
  </w:style>
  <w:style w:type="table" w:default="1" w:styleId="31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tabs>
        <w:tab w:val="left" w:pos="567"/>
      </w:tabs>
      <w:ind w:firstLine="420" w:firstLineChars="100"/>
    </w:pPr>
    <w:rPr>
      <w:sz w:val="21"/>
      <w:szCs w:val="24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10">
    <w:name w:val="toc 7"/>
    <w:basedOn w:val="1"/>
    <w:next w:val="1"/>
    <w:semiHidden/>
    <w:qFormat/>
    <w:uiPriority w:val="0"/>
    <w:pPr>
      <w:ind w:left="1260"/>
      <w:jc w:val="left"/>
    </w:pPr>
    <w:rPr>
      <w:sz w:val="18"/>
      <w:szCs w:val="21"/>
    </w:rPr>
  </w:style>
  <w:style w:type="paragraph" w:styleId="11">
    <w:name w:val="Note Heading"/>
    <w:basedOn w:val="1"/>
    <w:next w:val="1"/>
    <w:qFormat/>
    <w:uiPriority w:val="0"/>
    <w:pPr>
      <w:jc w:val="center"/>
    </w:pPr>
  </w:style>
  <w:style w:type="paragraph" w:styleId="12">
    <w:name w:val="Normal Indent"/>
    <w:basedOn w:val="1"/>
    <w:qFormat/>
    <w:uiPriority w:val="0"/>
    <w:pPr>
      <w:ind w:firstLine="420"/>
    </w:pPr>
    <w:rPr>
      <w:szCs w:val="20"/>
    </w:rPr>
  </w:style>
  <w:style w:type="paragraph" w:styleId="13">
    <w:name w:val="Body Text Indent"/>
    <w:basedOn w:val="1"/>
    <w:qFormat/>
    <w:uiPriority w:val="0"/>
    <w:pPr>
      <w:spacing w:after="120"/>
      <w:ind w:left="420" w:leftChars="200"/>
    </w:pPr>
  </w:style>
  <w:style w:type="paragraph" w:styleId="14">
    <w:name w:val="toc 5"/>
    <w:basedOn w:val="1"/>
    <w:next w:val="1"/>
    <w:semiHidden/>
    <w:qFormat/>
    <w:uiPriority w:val="0"/>
    <w:pPr>
      <w:ind w:left="840"/>
      <w:jc w:val="left"/>
    </w:pPr>
    <w:rPr>
      <w:sz w:val="18"/>
      <w:szCs w:val="21"/>
    </w:rPr>
  </w:style>
  <w:style w:type="paragraph" w:styleId="15">
    <w:name w:val="toc 3"/>
    <w:basedOn w:val="1"/>
    <w:next w:val="1"/>
    <w:semiHidden/>
    <w:qFormat/>
    <w:uiPriority w:val="0"/>
    <w:pPr>
      <w:ind w:left="420"/>
      <w:jc w:val="left"/>
    </w:pPr>
    <w:rPr>
      <w:i/>
      <w:iCs/>
      <w:sz w:val="20"/>
    </w:rPr>
  </w:style>
  <w:style w:type="paragraph" w:styleId="16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17">
    <w:name w:val="toc 8"/>
    <w:basedOn w:val="1"/>
    <w:next w:val="1"/>
    <w:semiHidden/>
    <w:qFormat/>
    <w:uiPriority w:val="0"/>
    <w:pPr>
      <w:ind w:left="1470"/>
      <w:jc w:val="left"/>
    </w:pPr>
    <w:rPr>
      <w:sz w:val="18"/>
      <w:szCs w:val="21"/>
    </w:rPr>
  </w:style>
  <w:style w:type="paragraph" w:styleId="18">
    <w:name w:val="Date"/>
    <w:basedOn w:val="1"/>
    <w:next w:val="1"/>
    <w:qFormat/>
    <w:uiPriority w:val="0"/>
    <w:pPr>
      <w:ind w:left="100" w:leftChars="2500"/>
    </w:pPr>
  </w:style>
  <w:style w:type="paragraph" w:styleId="19">
    <w:name w:val="Body Text Indent 2"/>
    <w:basedOn w:val="1"/>
    <w:qFormat/>
    <w:uiPriority w:val="0"/>
    <w:pPr>
      <w:spacing w:line="360" w:lineRule="auto"/>
      <w:ind w:firstLine="560" w:firstLineChars="200"/>
    </w:pPr>
    <w:rPr>
      <w:spacing w:val="20"/>
      <w:sz w:val="24"/>
    </w:rPr>
  </w:style>
  <w:style w:type="paragraph" w:styleId="20">
    <w:name w:val="Balloon Text"/>
    <w:basedOn w:val="1"/>
    <w:semiHidden/>
    <w:qFormat/>
    <w:uiPriority w:val="0"/>
    <w:rPr>
      <w:sz w:val="18"/>
      <w:szCs w:val="18"/>
    </w:rPr>
  </w:style>
  <w:style w:type="paragraph" w:styleId="21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3">
    <w:name w:val="toc 1"/>
    <w:basedOn w:val="1"/>
    <w:next w:val="1"/>
    <w:semiHidden/>
    <w:qFormat/>
    <w:uiPriority w:val="0"/>
    <w:pPr>
      <w:spacing w:before="120" w:after="120"/>
      <w:jc w:val="left"/>
    </w:pPr>
    <w:rPr>
      <w:b/>
      <w:bCs/>
      <w:caps/>
      <w:sz w:val="20"/>
    </w:rPr>
  </w:style>
  <w:style w:type="paragraph" w:styleId="24">
    <w:name w:val="toc 4"/>
    <w:basedOn w:val="1"/>
    <w:next w:val="1"/>
    <w:semiHidden/>
    <w:qFormat/>
    <w:uiPriority w:val="0"/>
    <w:pPr>
      <w:ind w:left="630"/>
      <w:jc w:val="left"/>
    </w:pPr>
    <w:rPr>
      <w:sz w:val="18"/>
      <w:szCs w:val="21"/>
    </w:rPr>
  </w:style>
  <w:style w:type="paragraph" w:styleId="25">
    <w:name w:val="footnote text"/>
    <w:basedOn w:val="1"/>
    <w:semiHidden/>
    <w:qFormat/>
    <w:uiPriority w:val="0"/>
    <w:pPr>
      <w:snapToGrid w:val="0"/>
      <w:jc w:val="left"/>
    </w:pPr>
    <w:rPr>
      <w:sz w:val="18"/>
      <w:szCs w:val="18"/>
    </w:rPr>
  </w:style>
  <w:style w:type="paragraph" w:styleId="26">
    <w:name w:val="toc 6"/>
    <w:basedOn w:val="1"/>
    <w:next w:val="1"/>
    <w:semiHidden/>
    <w:qFormat/>
    <w:uiPriority w:val="0"/>
    <w:pPr>
      <w:ind w:left="1050"/>
      <w:jc w:val="left"/>
    </w:pPr>
    <w:rPr>
      <w:sz w:val="18"/>
      <w:szCs w:val="21"/>
    </w:rPr>
  </w:style>
  <w:style w:type="paragraph" w:styleId="27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8">
    <w:name w:val="toc 2"/>
    <w:basedOn w:val="1"/>
    <w:next w:val="1"/>
    <w:semiHidden/>
    <w:qFormat/>
    <w:uiPriority w:val="0"/>
    <w:pPr>
      <w:ind w:left="210"/>
      <w:jc w:val="left"/>
    </w:pPr>
    <w:rPr>
      <w:smallCaps/>
      <w:sz w:val="20"/>
    </w:rPr>
  </w:style>
  <w:style w:type="paragraph" w:styleId="29">
    <w:name w:val="toc 9"/>
    <w:basedOn w:val="1"/>
    <w:next w:val="1"/>
    <w:semiHidden/>
    <w:qFormat/>
    <w:uiPriority w:val="0"/>
    <w:pPr>
      <w:ind w:left="1680"/>
      <w:jc w:val="left"/>
    </w:pPr>
    <w:rPr>
      <w:sz w:val="18"/>
      <w:szCs w:val="21"/>
    </w:rPr>
  </w:style>
  <w:style w:type="paragraph" w:styleId="30">
    <w:name w:val="Normal (Web)"/>
    <w:basedOn w:val="1"/>
    <w:qFormat/>
    <w:uiPriority w:val="0"/>
    <w:pPr>
      <w:widowControl/>
      <w:spacing w:before="144" w:after="144"/>
      <w:jc w:val="left"/>
    </w:pPr>
    <w:rPr>
      <w:rFonts w:ascii="宋体" w:hAnsi="宋体" w:cs="宋体"/>
      <w:kern w:val="0"/>
      <w:sz w:val="24"/>
    </w:rPr>
  </w:style>
  <w:style w:type="table" w:styleId="32">
    <w:name w:val="Table Grid"/>
    <w:basedOn w:val="3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33">
    <w:name w:val="Table Web 2"/>
    <w:basedOn w:val="31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35">
    <w:name w:val="Strong"/>
    <w:qFormat/>
    <w:uiPriority w:val="0"/>
    <w:rPr>
      <w:b/>
      <w:bCs/>
    </w:rPr>
  </w:style>
  <w:style w:type="character" w:styleId="36">
    <w:name w:val="page number"/>
    <w:qFormat/>
    <w:uiPriority w:val="0"/>
  </w:style>
  <w:style w:type="character" w:styleId="37">
    <w:name w:val="FollowedHyperlink"/>
    <w:qFormat/>
    <w:uiPriority w:val="0"/>
    <w:rPr>
      <w:color w:val="800080"/>
      <w:u w:val="single"/>
    </w:rPr>
  </w:style>
  <w:style w:type="character" w:styleId="38">
    <w:name w:val="Hyperlink"/>
    <w:qFormat/>
    <w:uiPriority w:val="0"/>
    <w:rPr>
      <w:rFonts w:hint="default" w:ascii="ˎ̥" w:hAnsi="ˎ̥"/>
      <w:color w:val="3E8080"/>
      <w:u w:val="single"/>
    </w:rPr>
  </w:style>
  <w:style w:type="character" w:customStyle="1" w:styleId="39">
    <w:name w:val="zl-txt1"/>
    <w:qFormat/>
    <w:uiPriority w:val="0"/>
    <w:rPr>
      <w:color w:val="FF0000"/>
    </w:rPr>
  </w:style>
  <w:style w:type="character" w:customStyle="1" w:styleId="40">
    <w:name w:val="alldata"/>
    <w:qFormat/>
    <w:uiPriority w:val="0"/>
  </w:style>
  <w:style w:type="paragraph" w:customStyle="1" w:styleId="41">
    <w:name w:val="样式11"/>
    <w:basedOn w:val="8"/>
    <w:next w:val="1"/>
    <w:qFormat/>
    <w:uiPriority w:val="0"/>
    <w:pPr>
      <w:keepNext w:val="0"/>
      <w:numPr>
        <w:ilvl w:val="0"/>
        <w:numId w:val="1"/>
      </w:numPr>
      <w:spacing w:before="0" w:after="0"/>
      <w:ind w:right="0" w:rightChars="0"/>
      <w:jc w:val="left"/>
    </w:pPr>
    <w:rPr>
      <w:rFonts w:ascii="宋体" w:hAnsi="宋体" w:eastAsia="宋体"/>
      <w:b w:val="0"/>
      <w:bCs w:val="0"/>
      <w:kern w:val="0"/>
      <w:sz w:val="32"/>
      <w:szCs w:val="28"/>
    </w:rPr>
  </w:style>
  <w:style w:type="paragraph" w:customStyle="1" w:styleId="42">
    <w:name w:val="_Style 40"/>
    <w:basedOn w:val="1"/>
    <w:next w:val="1"/>
    <w:qFormat/>
    <w:uiPriority w:val="0"/>
    <w:pPr>
      <w:widowControl/>
      <w:pBdr>
        <w:bottom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customStyle="1" w:styleId="43">
    <w:name w:val=" Char1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44">
    <w:name w:val="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45">
    <w:name w:val=" Char"/>
    <w:basedOn w:val="1"/>
    <w:qFormat/>
    <w:uiPriority w:val="0"/>
    <w:pPr>
      <w:spacing w:line="240" w:lineRule="atLeast"/>
      <w:ind w:left="420" w:firstLine="420"/>
    </w:pPr>
    <w:rPr>
      <w:kern w:val="0"/>
      <w:szCs w:val="21"/>
    </w:rPr>
  </w:style>
  <w:style w:type="paragraph" w:customStyle="1" w:styleId="46">
    <w:name w:val="_Style 44"/>
    <w:basedOn w:val="1"/>
    <w:next w:val="1"/>
    <w:qFormat/>
    <w:uiPriority w:val="0"/>
    <w:pPr>
      <w:widowControl/>
      <w:pBdr>
        <w:top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3045</Words>
  <Characters>3518</Characters>
  <Lines>17</Lines>
  <Paragraphs>4</Paragraphs>
  <TotalTime>44</TotalTime>
  <ScaleCrop>false</ScaleCrop>
  <LinksUpToDate>false</LinksUpToDate>
  <CharactersWithSpaces>3581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2012-09-13T01:29:00Z</dcterms:created>
  <dc:creator>zhubo</dc:creator>
  <cp:lastModifiedBy>宋南</cp:lastModifiedBy>
  <cp:lastPrinted>2023-05-31T03:28:00Z</cp:lastPrinted>
  <dcterms:modified xsi:type="dcterms:W3CDTF">2023-06-12T02:11:01Z</dcterms:modified>
  <dc:title>中国工商银行北京分行房山培训中心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EA73B648BCF640A0921E318FA3C37B9D_13</vt:lpwstr>
  </property>
</Properties>
</file>