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i w:val="0"/>
          <w:caps w:val="0"/>
          <w:color w:val="666666"/>
          <w:spacing w:val="0"/>
          <w:sz w:val="44"/>
          <w:szCs w:val="44"/>
          <w:shd w:val="clear" w:fill="FFFFFF"/>
          <w:lang w:val="en-US" w:eastAsia="zh-CN"/>
        </w:rPr>
        <w:t>评分标准</w:t>
      </w:r>
    </w:p>
    <w:p>
      <w:pPr>
        <w:pStyle w:val="29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666666"/>
          <w:spacing w:val="0"/>
          <w:sz w:val="28"/>
          <w:szCs w:val="28"/>
          <w:shd w:val="clear" w:fill="FFFFFF"/>
          <w:lang w:val="en-US" w:eastAsia="zh-CN"/>
        </w:rPr>
        <w:t>采用综合评分法，满分为100分。</w:t>
      </w:r>
    </w:p>
    <w:tbl>
      <w:tblPr>
        <w:tblStyle w:val="30"/>
        <w:tblW w:w="49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2333"/>
        <w:gridCol w:w="4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ind w:left="-178" w:leftChars="-85" w:right="-107" w:rightChars="-51" w:firstLine="141" w:firstLineChars="50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评分因素</w:t>
            </w:r>
          </w:p>
        </w:tc>
        <w:tc>
          <w:tcPr>
            <w:tcW w:w="1207" w:type="pct"/>
            <w:vAlign w:val="center"/>
          </w:tcPr>
          <w:p>
            <w:pPr>
              <w:ind w:left="-107" w:leftChars="-51" w:right="-107" w:rightChars="-51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具 </w:t>
            </w:r>
            <w:r>
              <w:rPr>
                <w:rFonts w:hint="default" w:eastAsia="仿宋_GB2312"/>
                <w:b/>
                <w:sz w:val="28"/>
                <w:szCs w:val="28"/>
              </w:rPr>
              <w:t>体</w:t>
            </w:r>
            <w:r>
              <w:rPr>
                <w:rFonts w:eastAsia="仿宋_GB2312"/>
                <w:b/>
                <w:sz w:val="28"/>
                <w:szCs w:val="28"/>
              </w:rPr>
              <w:t> </w:t>
            </w:r>
            <w:r>
              <w:rPr>
                <w:rFonts w:hint="default" w:eastAsia="仿宋_GB2312"/>
                <w:b/>
                <w:sz w:val="28"/>
                <w:szCs w:val="28"/>
              </w:rPr>
              <w:t>标</w:t>
            </w:r>
            <w:r>
              <w:rPr>
                <w:rFonts w:eastAsia="仿宋_GB2312"/>
                <w:b/>
                <w:sz w:val="28"/>
                <w:szCs w:val="28"/>
              </w:rPr>
              <w:t> </w:t>
            </w:r>
            <w:bookmarkStart w:id="0" w:name="_GoBack"/>
            <w:bookmarkEnd w:id="0"/>
            <w:r>
              <w:rPr>
                <w:rFonts w:hint="default" w:eastAsia="仿宋_GB2312"/>
                <w:b/>
                <w:sz w:val="28"/>
                <w:szCs w:val="28"/>
              </w:rPr>
              <w:t>准</w:t>
            </w:r>
          </w:p>
        </w:tc>
        <w:tc>
          <w:tcPr>
            <w:tcW w:w="2522" w:type="pct"/>
            <w:vAlign w:val="center"/>
          </w:tcPr>
          <w:p>
            <w:pPr>
              <w:tabs>
                <w:tab w:val="left" w:pos="7740"/>
              </w:tabs>
              <w:ind w:right="-136" w:rightChars="-65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/>
                <w:b/>
                <w:bCs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资质要求</w:t>
            </w:r>
          </w:p>
        </w:tc>
        <w:tc>
          <w:tcPr>
            <w:tcW w:w="1207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 xml:space="preserve">分 </w:t>
            </w:r>
          </w:p>
        </w:tc>
        <w:tc>
          <w:tcPr>
            <w:tcW w:w="2522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投标人须具备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特种工程（特种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防雷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专业施工资质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。完工出具雷电防护装置检测甲级及以上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资质（在北京市气象局http://bj.cma.gov.cn/中可查）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提供的检测报告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。安全生产许可证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类似业绩</w:t>
            </w:r>
          </w:p>
        </w:tc>
        <w:tc>
          <w:tcPr>
            <w:tcW w:w="1207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22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最近3年（提供2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月至今的类似业绩）有与本项目类似项目案例，每个案例得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分，最多得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分。（投标人需要提供合同首页、双方盖章页，复印件并加盖投标人公章）。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人员配置</w:t>
            </w:r>
          </w:p>
        </w:tc>
        <w:tc>
          <w:tcPr>
            <w:tcW w:w="1207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FF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522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项目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负责人具备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机电工程二级注册建造师及以上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资质，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专业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施工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人员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具有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相关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专业资质，提供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证件复印件并加盖公章。提供得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分，不提供不得分。提供项目团队配备的合理性、专业性和相关工作经验等内容，包括但不限于团队人员、工作年限、专业等基本情况，资格证书，相关工作经验等内容。优得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分；良得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分；一般得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eastAsia="仿宋_GB2312"/>
                <w:color w:val="000000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实施方案</w:t>
            </w:r>
          </w:p>
        </w:tc>
        <w:tc>
          <w:tcPr>
            <w:tcW w:w="1207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0分</w:t>
            </w:r>
          </w:p>
        </w:tc>
        <w:tc>
          <w:tcPr>
            <w:tcW w:w="2522" w:type="pct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1、实施方案措施详细、完善、合理并满足采购需求，得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sz w:val="28"/>
                <w:szCs w:val="28"/>
              </w:rPr>
              <w:t>-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eastAsia="仿宋_GB2312"/>
                <w:color w:val="000000"/>
                <w:sz w:val="28"/>
                <w:szCs w:val="28"/>
              </w:rPr>
              <w:t>0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分；</w:t>
            </w:r>
          </w:p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、实施方案措施较详细、合理并基本满足采购需求，得</w:t>
            </w:r>
            <w:r>
              <w:rPr>
                <w:rFonts w:eastAsia="仿宋_GB2312"/>
                <w:color w:val="000000"/>
                <w:sz w:val="28"/>
                <w:szCs w:val="28"/>
              </w:rPr>
              <w:t>10-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分；</w:t>
            </w:r>
          </w:p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、实施方案措施不详细、不满足采购需求，得</w:t>
            </w:r>
            <w:r>
              <w:rPr>
                <w:rFonts w:eastAsia="仿宋_GB2312"/>
                <w:color w:val="000000"/>
                <w:sz w:val="28"/>
                <w:szCs w:val="28"/>
              </w:rPr>
              <w:t>5-10</w:t>
            </w:r>
            <w:r>
              <w:rPr>
                <w:rFonts w:hint="default" w:eastAsia="仿宋_GB2312"/>
                <w:color w:val="000000"/>
                <w:sz w:val="28"/>
                <w:szCs w:val="28"/>
              </w:rPr>
              <w:t>分；</w:t>
            </w:r>
          </w:p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4、未提供，得0分。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服务承诺</w:t>
            </w:r>
          </w:p>
        </w:tc>
        <w:tc>
          <w:tcPr>
            <w:tcW w:w="1207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522" w:type="pct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针对本项目提供有价值的服务承诺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或增值</w:t>
            </w:r>
            <w:r>
              <w:rPr>
                <w:rFonts w:eastAsia="仿宋_GB2312"/>
                <w:color w:val="000000"/>
                <w:sz w:val="28"/>
                <w:szCs w:val="28"/>
              </w:rPr>
              <w:t>服务的</w:t>
            </w:r>
            <w:r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  <w:t>（如工程量清单外维修、提供附属建筑物防雷系统检测等）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，每提出 1 项得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eastAsia="仿宋_GB2312"/>
                <w:color w:val="000000"/>
                <w:sz w:val="28"/>
                <w:szCs w:val="28"/>
              </w:rPr>
              <w:t xml:space="preserve"> 分，最多得 </w:t>
            </w:r>
            <w:r>
              <w:rPr>
                <w:rFonts w:hint="eastAsia" w:eastAsia="仿宋_GB2312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eastAsia="仿宋_GB2312"/>
                <w:color w:val="000000"/>
                <w:sz w:val="28"/>
                <w:szCs w:val="28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比选报价</w:t>
            </w:r>
          </w:p>
        </w:tc>
        <w:tc>
          <w:tcPr>
            <w:tcW w:w="1207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FF"/>
                <w:sz w:val="28"/>
                <w:szCs w:val="28"/>
                <w:lang w:val="en-US" w:eastAsia="zh-CN"/>
              </w:rPr>
              <w:t>15</w:t>
            </w:r>
            <w:r>
              <w:rPr>
                <w:rFonts w:eastAsia="仿宋_GB2312"/>
                <w:color w:val="000000"/>
                <w:sz w:val="28"/>
                <w:szCs w:val="28"/>
              </w:rPr>
              <w:t>分</w:t>
            </w:r>
          </w:p>
        </w:tc>
        <w:tc>
          <w:tcPr>
            <w:tcW w:w="2522" w:type="pct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价格分统一采用低价优先法计算，即满足比选文件要求且最终报价最低的报价为评审基准价，其价格分为满分。其他参选人的价格分按照下列公式计算：报价得分=（评审基准价∕最终报价）×价格权值×100%。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70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1207" w:type="pct"/>
            <w:vAlign w:val="center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100分</w:t>
            </w:r>
          </w:p>
        </w:tc>
        <w:tc>
          <w:tcPr>
            <w:tcW w:w="2522" w:type="pct"/>
          </w:tcPr>
          <w:p>
            <w:pPr>
              <w:spacing w:line="312" w:lineRule="auto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bCs/>
          <w:spacing w:val="20"/>
          <w:sz w:val="44"/>
          <w:szCs w:val="44"/>
        </w:rPr>
      </w:pPr>
    </w:p>
    <w:p>
      <w:pPr>
        <w:jc w:val="center"/>
        <w:rPr>
          <w:rFonts w:hint="eastAsia" w:ascii="黑体" w:hAnsi="宋体" w:eastAsia="黑体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黑体" w:hAnsi="宋体" w:eastAsia="黑体"/>
          <w:b/>
          <w:bCs/>
          <w:spacing w:val="20"/>
          <w:sz w:val="44"/>
          <w:szCs w:val="44"/>
        </w:rPr>
        <w:t>防雷</w:t>
      </w:r>
      <w:r>
        <w:rPr>
          <w:rFonts w:hint="eastAsia" w:ascii="黑体" w:hAnsi="宋体" w:eastAsia="黑体"/>
          <w:b/>
          <w:bCs/>
          <w:spacing w:val="20"/>
          <w:sz w:val="44"/>
          <w:szCs w:val="44"/>
          <w:lang w:eastAsia="zh-CN"/>
        </w:rPr>
        <w:t>系统维修工程量清单</w:t>
      </w:r>
    </w:p>
    <w:p>
      <w:pPr>
        <w:jc w:val="center"/>
        <w:rPr>
          <w:rFonts w:ascii="宋体" w:hAnsi="宋体"/>
          <w:bCs/>
          <w:color w:val="00B0F0"/>
          <w:sz w:val="36"/>
          <w:szCs w:val="36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1、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吴宪大楼</w:t>
      </w:r>
    </w:p>
    <w:tbl>
      <w:tblPr>
        <w:tblStyle w:val="30"/>
        <w:tblW w:w="10335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928"/>
        <w:gridCol w:w="713"/>
        <w:gridCol w:w="1305"/>
        <w:gridCol w:w="1259"/>
        <w:gridCol w:w="2110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序号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材料项目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单位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工程量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型号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施工方式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达到效果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二级浪涌保护器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套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DRO-30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电梯机房更换损坏避雷器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空开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个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C32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电梯机房配电箱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一级浪涌保护器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套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10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DRO-50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总配电室配电柜内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空开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个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10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63A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总配机房配电箱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人工费（电工）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班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浪涌保护器安装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2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辅料</w:t>
            </w:r>
          </w:p>
        </w:tc>
        <w:tc>
          <w:tcPr>
            <w:tcW w:w="71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组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</w:t>
            </w:r>
          </w:p>
        </w:tc>
        <w:tc>
          <w:tcPr>
            <w:tcW w:w="125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  <w:tc>
          <w:tcPr>
            <w:tcW w:w="2110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包含：焊条、支架、螺丝、螺母、电线，通鼻等</w:t>
            </w:r>
          </w:p>
        </w:tc>
        <w:tc>
          <w:tcPr>
            <w:tcW w:w="2216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</w:tr>
    </w:tbl>
    <w:p>
      <w:pPr>
        <w:spacing w:line="560" w:lineRule="exac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spacing w:line="560" w:lineRule="exact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2、218-3办公楼</w:t>
      </w:r>
    </w:p>
    <w:tbl>
      <w:tblPr>
        <w:tblStyle w:val="30"/>
        <w:tblW w:w="11056" w:type="dxa"/>
        <w:tblInd w:w="-9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125"/>
        <w:gridCol w:w="763"/>
        <w:gridCol w:w="1062"/>
        <w:gridCol w:w="1331"/>
        <w:gridCol w:w="2334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序号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材料项目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单位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工程量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型号参数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施工方式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达到效果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Times New Roman" w:cs="宋体"/>
                <w:sz w:val="24"/>
              </w:rPr>
              <w:t>楼顶水箱间</w:t>
            </w:r>
            <w:r>
              <w:rPr>
                <w:rFonts w:hint="eastAsia" w:ascii="Times New Roman" w:hAnsi="宋体" w:eastAsia="Times New Roman" w:cs="Times New Roman"/>
                <w:sz w:val="24"/>
              </w:rPr>
              <w:t>接闪带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m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24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φ8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长8宽4楼顶女儿墙铺设接闪带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楼梯间接闪带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m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8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φ8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长2宽2楼顶女儿墙铺设接闪带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3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二级浪涌保护器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套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DRO-30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电梯机房配电箱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空开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个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C32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电梯机房配电箱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一级浪涌保护器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套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2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DRO-50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总配电室配电柜内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Times New Roman" w:cs="Times New Roman"/>
                <w:sz w:val="24"/>
              </w:rPr>
              <w:t>空开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个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2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63A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总配机房配电箱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设备跨接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处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5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16m²铜绞线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电梯机房及楼顶接闪带跨接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人工费（电工）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班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宋体" w:eastAsia="宋体" w:cs="Times New Roman"/>
                <w:sz w:val="24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浪涌保护器安装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Times New Roman" w:cs="Times New Roman"/>
                <w:sz w:val="28"/>
                <w:szCs w:val="28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人工费（安装）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班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接闪带安装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 w:eastAsia="Times New Roman" w:cs="Times New Roman"/>
                <w:sz w:val="28"/>
                <w:szCs w:val="28"/>
              </w:rPr>
              <w:t>1</w:t>
            </w:r>
            <w:r>
              <w:rPr>
                <w:rFonts w:hint="eastAsia" w:ascii="Times New Roman" w:hAnsi="宋体" w:eastAsia="Times New Roman" w:cs="Times New Roman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辅料</w:t>
            </w:r>
          </w:p>
        </w:tc>
        <w:tc>
          <w:tcPr>
            <w:tcW w:w="763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组</w:t>
            </w:r>
          </w:p>
        </w:tc>
        <w:tc>
          <w:tcPr>
            <w:tcW w:w="106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</w:t>
            </w:r>
          </w:p>
        </w:tc>
        <w:tc>
          <w:tcPr>
            <w:tcW w:w="1331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  <w:tc>
          <w:tcPr>
            <w:tcW w:w="233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包含：焊条、支架、螺丝、螺母、电线，通鼻等</w:t>
            </w:r>
          </w:p>
        </w:tc>
        <w:tc>
          <w:tcPr>
            <w:tcW w:w="2678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--</w:t>
            </w:r>
          </w:p>
        </w:tc>
      </w:tr>
    </w:tbl>
    <w:p>
      <w:pPr>
        <w:spacing w:line="560" w:lineRule="exact"/>
        <w:rPr>
          <w:rFonts w:hAnsi="宋体"/>
          <w:sz w:val="28"/>
          <w:szCs w:val="28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6"/>
          <w:szCs w:val="36"/>
        </w:rPr>
        <w:t>3、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小二楼岗亭附近</w:t>
      </w:r>
      <w:r>
        <w:rPr>
          <w:rFonts w:hint="eastAsia" w:ascii="宋体" w:hAnsi="宋体" w:cs="宋体"/>
          <w:b/>
          <w:bCs/>
          <w:sz w:val="32"/>
          <w:szCs w:val="32"/>
        </w:rPr>
        <w:t>树木防雷</w:t>
      </w:r>
    </w:p>
    <w:tbl>
      <w:tblPr>
        <w:tblStyle w:val="30"/>
        <w:tblpPr w:leftFromText="180" w:rightFromText="180" w:vertAnchor="text" w:horzAnchor="page" w:tblpX="887" w:tblpY="644"/>
        <w:tblOverlap w:val="never"/>
        <w:tblW w:w="10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914"/>
        <w:gridCol w:w="1042"/>
        <w:gridCol w:w="1007"/>
        <w:gridCol w:w="3042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序号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项目名称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型号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工程量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施工方式</w:t>
            </w: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达到效果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树木避雷针制作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3m避雷针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1根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在树木最顶端制作一根3m避雷针做为接闪装置</w:t>
            </w: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2"/>
                <w:szCs w:val="22"/>
                <w:lang w:eastAsia="zh-CN"/>
              </w:rPr>
              <w:t>符合</w:t>
            </w:r>
            <w:r>
              <w:rPr>
                <w:rFonts w:hint="eastAsia" w:ascii="Times New Roman" w:hAnsi="宋体" w:eastAsia="宋体" w:cs="Times New Roman"/>
                <w:sz w:val="22"/>
                <w:szCs w:val="22"/>
              </w:rPr>
              <w:t>DB11/T1430-2017 《古树名木雷电防护技术规范》</w:t>
            </w:r>
            <w:r>
              <w:rPr>
                <w:rFonts w:hint="eastAsia" w:ascii="Times New Roman" w:hAnsi="宋体" w:eastAsia="宋体" w:cs="Times New Roman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宋体" w:eastAsia="宋体" w:cs="Times New Roman"/>
                <w:sz w:val="22"/>
                <w:szCs w:val="22"/>
              </w:rPr>
              <w:t>确保树木</w:t>
            </w:r>
            <w:r>
              <w:rPr>
                <w:rFonts w:hint="eastAsia" w:hAnsi="宋体" w:cs="Times New Roman"/>
                <w:sz w:val="22"/>
                <w:szCs w:val="22"/>
                <w:lang w:eastAsia="zh-CN"/>
              </w:rPr>
              <w:t>和岗亭</w:t>
            </w:r>
            <w:r>
              <w:rPr>
                <w:rFonts w:hint="eastAsia" w:ascii="Times New Roman" w:hAnsi="宋体" w:eastAsia="宋体" w:cs="Times New Roman"/>
                <w:sz w:val="22"/>
                <w:szCs w:val="22"/>
              </w:rPr>
              <w:t>安全</w:t>
            </w:r>
            <w:r>
              <w:rPr>
                <w:rFonts w:hint="eastAsia" w:hAnsi="宋体" w:cs="Times New Roman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Times New Roman" w:hAnsi="宋体" w:eastAsia="宋体" w:cs="Times New Roman"/>
                <w:sz w:val="22"/>
                <w:szCs w:val="22"/>
              </w:rPr>
              <w:t>预防</w:t>
            </w:r>
            <w:r>
              <w:rPr>
                <w:rFonts w:hint="eastAsia" w:hAnsi="宋体" w:cs="Times New Roman"/>
                <w:sz w:val="22"/>
                <w:szCs w:val="22"/>
                <w:lang w:eastAsia="zh-CN"/>
              </w:rPr>
              <w:t>雷击</w:t>
            </w:r>
            <w:r>
              <w:rPr>
                <w:rFonts w:hint="eastAsia" w:ascii="Times New Roman" w:hAnsi="宋体" w:eastAsia="宋体" w:cs="Times New Roman"/>
                <w:sz w:val="22"/>
                <w:szCs w:val="22"/>
              </w:rPr>
              <w:t>意外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2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避雷针树木抱箍固定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绝缘抱箍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4个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避雷针及引下线采用可调动抱箍固方式定在树木上。抱箍垫层采用橡胶垫。</w:t>
            </w: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3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引下线安装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BV95mm²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9m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采用有绝缘外皮的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铜绞线沿树身向地面敷设。</w:t>
            </w: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8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4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引下线保护套管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3M护管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1组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护管采用交联聚乙烯管DN32mm*3.2mm，引下线抱箍采用不锈钢，垫层采用橡胶垫。</w:t>
            </w: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5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接地装置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10m接地装置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1组</w:t>
            </w:r>
          </w:p>
        </w:tc>
        <w:tc>
          <w:tcPr>
            <w:tcW w:w="3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采用水平接地体与垂直接地体配合组成接地装置</w:t>
            </w: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93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6</w:t>
            </w:r>
          </w:p>
        </w:tc>
        <w:tc>
          <w:tcPr>
            <w:tcW w:w="1914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人工费用</w:t>
            </w:r>
          </w:p>
        </w:tc>
        <w:tc>
          <w:tcPr>
            <w:tcW w:w="1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  <w:r>
              <w:rPr>
                <w:rFonts w:hint="eastAsia" w:ascii="Times New Roman" w:hAnsi="宋体" w:eastAsia="宋体" w:cs="Times New Roman"/>
                <w:sz w:val="24"/>
              </w:rPr>
              <w:t>-</w:t>
            </w:r>
          </w:p>
        </w:tc>
        <w:tc>
          <w:tcPr>
            <w:tcW w:w="1007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  <w:tc>
          <w:tcPr>
            <w:tcW w:w="3042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  <w:tc>
          <w:tcPr>
            <w:tcW w:w="2579" w:type="dxa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default" w:ascii="Times New Roman" w:hAnsi="宋体" w:eastAsia="宋体" w:cs="Times New Roman"/>
                <w:sz w:val="24"/>
              </w:rPr>
            </w:pP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rFonts w:ascii="宋体" w:hAnsi="宋体"/>
          <w:sz w:val="24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558" w:right="1028" w:bottom="779" w:left="1418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right" w:y="1"/>
      <w:rPr>
        <w:rStyle w:val="35"/>
      </w:rPr>
    </w:pPr>
    <w:r>
      <w:fldChar w:fldCharType="begin"/>
    </w:r>
    <w:r>
      <w:rPr>
        <w:rStyle w:val="35"/>
      </w:rPr>
      <w:instrText xml:space="preserve">PAGE  </w:instrText>
    </w:r>
    <w:r>
      <w:fldChar w:fldCharType="end"/>
    </w:r>
  </w:p>
  <w:p>
    <w:pPr>
      <w:pStyle w:val="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  <w:color w:val="000000"/>
        <w:sz w:val="24"/>
      </w:rPr>
    </w:pPr>
    <w:r>
      <w:rPr>
        <w:rFonts w:hint="eastAsia"/>
        <w:color w:val="000000"/>
      </w:rPr>
      <w:t xml:space="preserve">                                         </w:t>
    </w:r>
    <w:r>
      <w:rPr>
        <w:rFonts w:hint="eastAsia"/>
        <w:color w:val="000000"/>
        <w:sz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62B1211"/>
    <w:multiLevelType w:val="multilevel"/>
    <w:tmpl w:val="762B1211"/>
    <w:lvl w:ilvl="0" w:tentative="0">
      <w:start w:val="1"/>
      <w:numFmt w:val="chineseCountingThousand"/>
      <w:pStyle w:val="40"/>
      <w:lvlText w:val="%1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M4OWY0NWYxYzVlMTkxYmI5MTQwM2JhYTVlNjcifQ=="/>
  </w:docVars>
  <w:rsids>
    <w:rsidRoot w:val="00172A27"/>
    <w:rsid w:val="00005CD6"/>
    <w:rsid w:val="00005F0F"/>
    <w:rsid w:val="000101E7"/>
    <w:rsid w:val="000172A8"/>
    <w:rsid w:val="0002072B"/>
    <w:rsid w:val="00021E2D"/>
    <w:rsid w:val="00024CE7"/>
    <w:rsid w:val="00026F1B"/>
    <w:rsid w:val="0003013C"/>
    <w:rsid w:val="00032677"/>
    <w:rsid w:val="000366D6"/>
    <w:rsid w:val="00044C4F"/>
    <w:rsid w:val="00045089"/>
    <w:rsid w:val="00053F85"/>
    <w:rsid w:val="00055AB2"/>
    <w:rsid w:val="00062605"/>
    <w:rsid w:val="0006274F"/>
    <w:rsid w:val="000642E9"/>
    <w:rsid w:val="000644B5"/>
    <w:rsid w:val="000674BB"/>
    <w:rsid w:val="00071120"/>
    <w:rsid w:val="00081210"/>
    <w:rsid w:val="00095505"/>
    <w:rsid w:val="000965D2"/>
    <w:rsid w:val="000A61A2"/>
    <w:rsid w:val="000B115D"/>
    <w:rsid w:val="000C28A4"/>
    <w:rsid w:val="000C3F13"/>
    <w:rsid w:val="000C64DD"/>
    <w:rsid w:val="000D185E"/>
    <w:rsid w:val="000D1A9D"/>
    <w:rsid w:val="000E0865"/>
    <w:rsid w:val="000E0B41"/>
    <w:rsid w:val="000E142B"/>
    <w:rsid w:val="000E1E35"/>
    <w:rsid w:val="000F255D"/>
    <w:rsid w:val="00111FD7"/>
    <w:rsid w:val="00112038"/>
    <w:rsid w:val="00115533"/>
    <w:rsid w:val="00121E74"/>
    <w:rsid w:val="0012482B"/>
    <w:rsid w:val="0012557C"/>
    <w:rsid w:val="00132771"/>
    <w:rsid w:val="00132BC1"/>
    <w:rsid w:val="00135FB6"/>
    <w:rsid w:val="00136915"/>
    <w:rsid w:val="00136A5E"/>
    <w:rsid w:val="0014040F"/>
    <w:rsid w:val="0014159F"/>
    <w:rsid w:val="00146A71"/>
    <w:rsid w:val="0015040B"/>
    <w:rsid w:val="00157541"/>
    <w:rsid w:val="00157867"/>
    <w:rsid w:val="00161D65"/>
    <w:rsid w:val="00162295"/>
    <w:rsid w:val="00166293"/>
    <w:rsid w:val="0016718F"/>
    <w:rsid w:val="001709EC"/>
    <w:rsid w:val="00183373"/>
    <w:rsid w:val="001951E9"/>
    <w:rsid w:val="001A2FE9"/>
    <w:rsid w:val="001B1120"/>
    <w:rsid w:val="001C34CD"/>
    <w:rsid w:val="001C48C5"/>
    <w:rsid w:val="001D1D14"/>
    <w:rsid w:val="001D3E42"/>
    <w:rsid w:val="001D5ADF"/>
    <w:rsid w:val="001D7696"/>
    <w:rsid w:val="001E27B2"/>
    <w:rsid w:val="001E40BB"/>
    <w:rsid w:val="001E637A"/>
    <w:rsid w:val="001F2689"/>
    <w:rsid w:val="001F35A2"/>
    <w:rsid w:val="001F51CC"/>
    <w:rsid w:val="0020259E"/>
    <w:rsid w:val="00206003"/>
    <w:rsid w:val="00214273"/>
    <w:rsid w:val="00221108"/>
    <w:rsid w:val="00221FE6"/>
    <w:rsid w:val="0023047C"/>
    <w:rsid w:val="00247DC4"/>
    <w:rsid w:val="00252916"/>
    <w:rsid w:val="0026035D"/>
    <w:rsid w:val="0026509D"/>
    <w:rsid w:val="00271EAB"/>
    <w:rsid w:val="00277117"/>
    <w:rsid w:val="002919A0"/>
    <w:rsid w:val="002947DD"/>
    <w:rsid w:val="00294B60"/>
    <w:rsid w:val="00296466"/>
    <w:rsid w:val="002A1BB5"/>
    <w:rsid w:val="002A45B6"/>
    <w:rsid w:val="002B3B45"/>
    <w:rsid w:val="002B4A88"/>
    <w:rsid w:val="002B66B5"/>
    <w:rsid w:val="002C2104"/>
    <w:rsid w:val="002C4793"/>
    <w:rsid w:val="002D6DF9"/>
    <w:rsid w:val="002E0702"/>
    <w:rsid w:val="002E1BE6"/>
    <w:rsid w:val="002E65D2"/>
    <w:rsid w:val="002F097E"/>
    <w:rsid w:val="002F219D"/>
    <w:rsid w:val="002F79BC"/>
    <w:rsid w:val="00306EA8"/>
    <w:rsid w:val="00310952"/>
    <w:rsid w:val="00312087"/>
    <w:rsid w:val="00314798"/>
    <w:rsid w:val="0031529C"/>
    <w:rsid w:val="003161A1"/>
    <w:rsid w:val="0032105C"/>
    <w:rsid w:val="0033468E"/>
    <w:rsid w:val="00340085"/>
    <w:rsid w:val="003413E6"/>
    <w:rsid w:val="00341F63"/>
    <w:rsid w:val="00346F99"/>
    <w:rsid w:val="003615A8"/>
    <w:rsid w:val="00361D24"/>
    <w:rsid w:val="0036275E"/>
    <w:rsid w:val="00365A4C"/>
    <w:rsid w:val="00366D43"/>
    <w:rsid w:val="00367398"/>
    <w:rsid w:val="0038119A"/>
    <w:rsid w:val="003841F8"/>
    <w:rsid w:val="00391E40"/>
    <w:rsid w:val="0039409C"/>
    <w:rsid w:val="00394333"/>
    <w:rsid w:val="0039502A"/>
    <w:rsid w:val="003A314C"/>
    <w:rsid w:val="003A3BBC"/>
    <w:rsid w:val="003A47EF"/>
    <w:rsid w:val="003A5441"/>
    <w:rsid w:val="003A5A1D"/>
    <w:rsid w:val="003C4A96"/>
    <w:rsid w:val="003C644D"/>
    <w:rsid w:val="003D0CAA"/>
    <w:rsid w:val="003D6926"/>
    <w:rsid w:val="003D6BF6"/>
    <w:rsid w:val="003E00DF"/>
    <w:rsid w:val="003E373E"/>
    <w:rsid w:val="003F227B"/>
    <w:rsid w:val="003F3CD1"/>
    <w:rsid w:val="00401749"/>
    <w:rsid w:val="00407D25"/>
    <w:rsid w:val="00422102"/>
    <w:rsid w:val="00423390"/>
    <w:rsid w:val="00425561"/>
    <w:rsid w:val="00430906"/>
    <w:rsid w:val="00432E65"/>
    <w:rsid w:val="0044708B"/>
    <w:rsid w:val="00463CBE"/>
    <w:rsid w:val="00464B69"/>
    <w:rsid w:val="004714EE"/>
    <w:rsid w:val="004737A7"/>
    <w:rsid w:val="00473F8F"/>
    <w:rsid w:val="00475FC8"/>
    <w:rsid w:val="00476771"/>
    <w:rsid w:val="00490F83"/>
    <w:rsid w:val="004978D3"/>
    <w:rsid w:val="004C2733"/>
    <w:rsid w:val="004C6FA7"/>
    <w:rsid w:val="004D5FB5"/>
    <w:rsid w:val="004D6F0F"/>
    <w:rsid w:val="004E5C3D"/>
    <w:rsid w:val="004E637E"/>
    <w:rsid w:val="004F150B"/>
    <w:rsid w:val="004F4FEE"/>
    <w:rsid w:val="004F5060"/>
    <w:rsid w:val="00500B35"/>
    <w:rsid w:val="0050368B"/>
    <w:rsid w:val="0051206F"/>
    <w:rsid w:val="00515C72"/>
    <w:rsid w:val="00521AA3"/>
    <w:rsid w:val="00523A80"/>
    <w:rsid w:val="005265DD"/>
    <w:rsid w:val="005279EE"/>
    <w:rsid w:val="00530DA2"/>
    <w:rsid w:val="00543BE2"/>
    <w:rsid w:val="00544A7C"/>
    <w:rsid w:val="00545C38"/>
    <w:rsid w:val="00545F98"/>
    <w:rsid w:val="00546428"/>
    <w:rsid w:val="005570A2"/>
    <w:rsid w:val="00557215"/>
    <w:rsid w:val="0056252D"/>
    <w:rsid w:val="005645F8"/>
    <w:rsid w:val="0056618E"/>
    <w:rsid w:val="00575ED5"/>
    <w:rsid w:val="0058161A"/>
    <w:rsid w:val="0059449E"/>
    <w:rsid w:val="005A485E"/>
    <w:rsid w:val="005C2C06"/>
    <w:rsid w:val="005C420F"/>
    <w:rsid w:val="005D2A20"/>
    <w:rsid w:val="005D7532"/>
    <w:rsid w:val="005E6AC5"/>
    <w:rsid w:val="005F016B"/>
    <w:rsid w:val="006017CC"/>
    <w:rsid w:val="00602741"/>
    <w:rsid w:val="00610405"/>
    <w:rsid w:val="00622007"/>
    <w:rsid w:val="006272EF"/>
    <w:rsid w:val="0063041C"/>
    <w:rsid w:val="00630BD9"/>
    <w:rsid w:val="00636020"/>
    <w:rsid w:val="00643AB0"/>
    <w:rsid w:val="00651234"/>
    <w:rsid w:val="0065420F"/>
    <w:rsid w:val="0066062A"/>
    <w:rsid w:val="006644DD"/>
    <w:rsid w:val="0066529D"/>
    <w:rsid w:val="00670D04"/>
    <w:rsid w:val="00673D3F"/>
    <w:rsid w:val="00681CFB"/>
    <w:rsid w:val="00681E25"/>
    <w:rsid w:val="00685673"/>
    <w:rsid w:val="00686559"/>
    <w:rsid w:val="00694C29"/>
    <w:rsid w:val="006970F1"/>
    <w:rsid w:val="006A6DA7"/>
    <w:rsid w:val="006B1797"/>
    <w:rsid w:val="006B19F2"/>
    <w:rsid w:val="006B1A68"/>
    <w:rsid w:val="006B26E6"/>
    <w:rsid w:val="006C1D3D"/>
    <w:rsid w:val="006C212D"/>
    <w:rsid w:val="006C53DE"/>
    <w:rsid w:val="006D08EB"/>
    <w:rsid w:val="006D0DCE"/>
    <w:rsid w:val="006D1FB6"/>
    <w:rsid w:val="006D379A"/>
    <w:rsid w:val="006D7D85"/>
    <w:rsid w:val="006E05C2"/>
    <w:rsid w:val="006E7155"/>
    <w:rsid w:val="006E7D6F"/>
    <w:rsid w:val="006F3F19"/>
    <w:rsid w:val="006F455B"/>
    <w:rsid w:val="006F4879"/>
    <w:rsid w:val="00710C76"/>
    <w:rsid w:val="007171BA"/>
    <w:rsid w:val="0072389D"/>
    <w:rsid w:val="0073055C"/>
    <w:rsid w:val="007325C8"/>
    <w:rsid w:val="00734D4A"/>
    <w:rsid w:val="00734FD2"/>
    <w:rsid w:val="00737539"/>
    <w:rsid w:val="00741C17"/>
    <w:rsid w:val="00744D4F"/>
    <w:rsid w:val="007479F6"/>
    <w:rsid w:val="00750C05"/>
    <w:rsid w:val="00754802"/>
    <w:rsid w:val="007740CE"/>
    <w:rsid w:val="007814E3"/>
    <w:rsid w:val="007864BF"/>
    <w:rsid w:val="00790744"/>
    <w:rsid w:val="00792AA3"/>
    <w:rsid w:val="00793999"/>
    <w:rsid w:val="00795B92"/>
    <w:rsid w:val="007A32DD"/>
    <w:rsid w:val="007A5566"/>
    <w:rsid w:val="007A5601"/>
    <w:rsid w:val="007A5C11"/>
    <w:rsid w:val="007B025F"/>
    <w:rsid w:val="007B3CD9"/>
    <w:rsid w:val="007B5BC9"/>
    <w:rsid w:val="007C0A2A"/>
    <w:rsid w:val="007C6DCC"/>
    <w:rsid w:val="007D04FF"/>
    <w:rsid w:val="007D2268"/>
    <w:rsid w:val="007D48AD"/>
    <w:rsid w:val="007E1F47"/>
    <w:rsid w:val="007E50F1"/>
    <w:rsid w:val="007F0AED"/>
    <w:rsid w:val="007F12DC"/>
    <w:rsid w:val="007F154A"/>
    <w:rsid w:val="007F161D"/>
    <w:rsid w:val="007F191D"/>
    <w:rsid w:val="00801022"/>
    <w:rsid w:val="008026C5"/>
    <w:rsid w:val="008258AE"/>
    <w:rsid w:val="008329C7"/>
    <w:rsid w:val="00834A9D"/>
    <w:rsid w:val="008356B1"/>
    <w:rsid w:val="00846600"/>
    <w:rsid w:val="008559EE"/>
    <w:rsid w:val="00862C5A"/>
    <w:rsid w:val="00866171"/>
    <w:rsid w:val="00872115"/>
    <w:rsid w:val="00872C83"/>
    <w:rsid w:val="00873F09"/>
    <w:rsid w:val="008742DE"/>
    <w:rsid w:val="00877910"/>
    <w:rsid w:val="008824DA"/>
    <w:rsid w:val="00885063"/>
    <w:rsid w:val="0088570B"/>
    <w:rsid w:val="008930C2"/>
    <w:rsid w:val="008A00DE"/>
    <w:rsid w:val="008A134A"/>
    <w:rsid w:val="008A14E9"/>
    <w:rsid w:val="008A1623"/>
    <w:rsid w:val="008A2733"/>
    <w:rsid w:val="008A2782"/>
    <w:rsid w:val="008A7CA3"/>
    <w:rsid w:val="008B24CE"/>
    <w:rsid w:val="008B5FFC"/>
    <w:rsid w:val="008B605B"/>
    <w:rsid w:val="008B643C"/>
    <w:rsid w:val="008B69FB"/>
    <w:rsid w:val="008B7DEB"/>
    <w:rsid w:val="008C2FFC"/>
    <w:rsid w:val="008D0CD8"/>
    <w:rsid w:val="008D39C8"/>
    <w:rsid w:val="008D6152"/>
    <w:rsid w:val="008D6233"/>
    <w:rsid w:val="008D69E6"/>
    <w:rsid w:val="008E23AA"/>
    <w:rsid w:val="008E344E"/>
    <w:rsid w:val="008E421F"/>
    <w:rsid w:val="008E4435"/>
    <w:rsid w:val="008E7125"/>
    <w:rsid w:val="008F13FA"/>
    <w:rsid w:val="008F19E4"/>
    <w:rsid w:val="008F60CE"/>
    <w:rsid w:val="0090067C"/>
    <w:rsid w:val="00901470"/>
    <w:rsid w:val="0090567D"/>
    <w:rsid w:val="009065D1"/>
    <w:rsid w:val="009073FA"/>
    <w:rsid w:val="00913270"/>
    <w:rsid w:val="00914515"/>
    <w:rsid w:val="0092030E"/>
    <w:rsid w:val="009223B8"/>
    <w:rsid w:val="00932471"/>
    <w:rsid w:val="00935323"/>
    <w:rsid w:val="00935E4D"/>
    <w:rsid w:val="00945259"/>
    <w:rsid w:val="00945369"/>
    <w:rsid w:val="00946B08"/>
    <w:rsid w:val="00950DC9"/>
    <w:rsid w:val="00952846"/>
    <w:rsid w:val="00954193"/>
    <w:rsid w:val="009545F7"/>
    <w:rsid w:val="0096013E"/>
    <w:rsid w:val="00960643"/>
    <w:rsid w:val="00964661"/>
    <w:rsid w:val="00965FC6"/>
    <w:rsid w:val="009723BB"/>
    <w:rsid w:val="00975DF2"/>
    <w:rsid w:val="00980054"/>
    <w:rsid w:val="009845D4"/>
    <w:rsid w:val="009972DB"/>
    <w:rsid w:val="009A049A"/>
    <w:rsid w:val="009A35C5"/>
    <w:rsid w:val="009A43D6"/>
    <w:rsid w:val="009A7B95"/>
    <w:rsid w:val="009B0037"/>
    <w:rsid w:val="009B53B7"/>
    <w:rsid w:val="009D2083"/>
    <w:rsid w:val="009F5796"/>
    <w:rsid w:val="009F726C"/>
    <w:rsid w:val="00A0668D"/>
    <w:rsid w:val="00A07946"/>
    <w:rsid w:val="00A17757"/>
    <w:rsid w:val="00A2154A"/>
    <w:rsid w:val="00A230BC"/>
    <w:rsid w:val="00A2511D"/>
    <w:rsid w:val="00A2617B"/>
    <w:rsid w:val="00A26C49"/>
    <w:rsid w:val="00A365B4"/>
    <w:rsid w:val="00A42F19"/>
    <w:rsid w:val="00A43DD7"/>
    <w:rsid w:val="00A44324"/>
    <w:rsid w:val="00A47830"/>
    <w:rsid w:val="00A56E26"/>
    <w:rsid w:val="00A63C31"/>
    <w:rsid w:val="00A70194"/>
    <w:rsid w:val="00A732A8"/>
    <w:rsid w:val="00A732B9"/>
    <w:rsid w:val="00A736C7"/>
    <w:rsid w:val="00A750EE"/>
    <w:rsid w:val="00A76E6E"/>
    <w:rsid w:val="00A84A30"/>
    <w:rsid w:val="00A87CD2"/>
    <w:rsid w:val="00A87EA5"/>
    <w:rsid w:val="00A916AF"/>
    <w:rsid w:val="00A94800"/>
    <w:rsid w:val="00AB13BF"/>
    <w:rsid w:val="00AB2623"/>
    <w:rsid w:val="00AC34F6"/>
    <w:rsid w:val="00AD0376"/>
    <w:rsid w:val="00AD5D1E"/>
    <w:rsid w:val="00AF31D0"/>
    <w:rsid w:val="00AF42B4"/>
    <w:rsid w:val="00B003FE"/>
    <w:rsid w:val="00B03342"/>
    <w:rsid w:val="00B05679"/>
    <w:rsid w:val="00B06EAF"/>
    <w:rsid w:val="00B11393"/>
    <w:rsid w:val="00B2225E"/>
    <w:rsid w:val="00B2270F"/>
    <w:rsid w:val="00B27D5E"/>
    <w:rsid w:val="00B34A4F"/>
    <w:rsid w:val="00B34BB7"/>
    <w:rsid w:val="00B364CD"/>
    <w:rsid w:val="00B458AF"/>
    <w:rsid w:val="00B479B4"/>
    <w:rsid w:val="00B47F26"/>
    <w:rsid w:val="00B50310"/>
    <w:rsid w:val="00B54BAF"/>
    <w:rsid w:val="00B566A4"/>
    <w:rsid w:val="00B5688D"/>
    <w:rsid w:val="00B56A4F"/>
    <w:rsid w:val="00B6196B"/>
    <w:rsid w:val="00B6273F"/>
    <w:rsid w:val="00B64C6A"/>
    <w:rsid w:val="00B65784"/>
    <w:rsid w:val="00B6579A"/>
    <w:rsid w:val="00B7594F"/>
    <w:rsid w:val="00B90EA0"/>
    <w:rsid w:val="00BA07D2"/>
    <w:rsid w:val="00BA36F1"/>
    <w:rsid w:val="00BA44EE"/>
    <w:rsid w:val="00BB0A9D"/>
    <w:rsid w:val="00BB1587"/>
    <w:rsid w:val="00BB1D52"/>
    <w:rsid w:val="00BB2FAB"/>
    <w:rsid w:val="00BB3886"/>
    <w:rsid w:val="00BB416C"/>
    <w:rsid w:val="00BC01A3"/>
    <w:rsid w:val="00BC49DC"/>
    <w:rsid w:val="00BC4BC1"/>
    <w:rsid w:val="00BC4CD9"/>
    <w:rsid w:val="00BC4E48"/>
    <w:rsid w:val="00BC5C3A"/>
    <w:rsid w:val="00BC7F7C"/>
    <w:rsid w:val="00BD6317"/>
    <w:rsid w:val="00BE6E3B"/>
    <w:rsid w:val="00BF2B96"/>
    <w:rsid w:val="00BF4A40"/>
    <w:rsid w:val="00C05085"/>
    <w:rsid w:val="00C05D35"/>
    <w:rsid w:val="00C07E4E"/>
    <w:rsid w:val="00C152ED"/>
    <w:rsid w:val="00C224A7"/>
    <w:rsid w:val="00C2288E"/>
    <w:rsid w:val="00C22CFB"/>
    <w:rsid w:val="00C2493F"/>
    <w:rsid w:val="00C24D25"/>
    <w:rsid w:val="00C2576F"/>
    <w:rsid w:val="00C304A2"/>
    <w:rsid w:val="00C3111C"/>
    <w:rsid w:val="00C47CDB"/>
    <w:rsid w:val="00C503AE"/>
    <w:rsid w:val="00C53A89"/>
    <w:rsid w:val="00C54A81"/>
    <w:rsid w:val="00C56809"/>
    <w:rsid w:val="00C623E0"/>
    <w:rsid w:val="00C70A36"/>
    <w:rsid w:val="00C72887"/>
    <w:rsid w:val="00C820FA"/>
    <w:rsid w:val="00C821CA"/>
    <w:rsid w:val="00C82A69"/>
    <w:rsid w:val="00C8510E"/>
    <w:rsid w:val="00C86CB0"/>
    <w:rsid w:val="00C8737E"/>
    <w:rsid w:val="00C905B1"/>
    <w:rsid w:val="00C90E7F"/>
    <w:rsid w:val="00C911BC"/>
    <w:rsid w:val="00C9438D"/>
    <w:rsid w:val="00CA466C"/>
    <w:rsid w:val="00CA5830"/>
    <w:rsid w:val="00CB066F"/>
    <w:rsid w:val="00CB3DB2"/>
    <w:rsid w:val="00CB3E90"/>
    <w:rsid w:val="00CC06EC"/>
    <w:rsid w:val="00CC288E"/>
    <w:rsid w:val="00CC3EA2"/>
    <w:rsid w:val="00CD15B0"/>
    <w:rsid w:val="00CD2100"/>
    <w:rsid w:val="00CD22ED"/>
    <w:rsid w:val="00CD61FB"/>
    <w:rsid w:val="00CE36B1"/>
    <w:rsid w:val="00CE6F33"/>
    <w:rsid w:val="00CF16ED"/>
    <w:rsid w:val="00CF1892"/>
    <w:rsid w:val="00CF6A78"/>
    <w:rsid w:val="00D042E7"/>
    <w:rsid w:val="00D0575C"/>
    <w:rsid w:val="00D05B98"/>
    <w:rsid w:val="00D100B2"/>
    <w:rsid w:val="00D13B0A"/>
    <w:rsid w:val="00D15A74"/>
    <w:rsid w:val="00D255BA"/>
    <w:rsid w:val="00D25CED"/>
    <w:rsid w:val="00D31A22"/>
    <w:rsid w:val="00D33983"/>
    <w:rsid w:val="00D349A0"/>
    <w:rsid w:val="00D3544F"/>
    <w:rsid w:val="00D36AC4"/>
    <w:rsid w:val="00D40159"/>
    <w:rsid w:val="00D412DF"/>
    <w:rsid w:val="00D425B7"/>
    <w:rsid w:val="00D52A33"/>
    <w:rsid w:val="00D60A0E"/>
    <w:rsid w:val="00D6183F"/>
    <w:rsid w:val="00D61911"/>
    <w:rsid w:val="00D62213"/>
    <w:rsid w:val="00D67538"/>
    <w:rsid w:val="00D77EA4"/>
    <w:rsid w:val="00D81F57"/>
    <w:rsid w:val="00D87C87"/>
    <w:rsid w:val="00D87E1D"/>
    <w:rsid w:val="00D9124F"/>
    <w:rsid w:val="00DB27B3"/>
    <w:rsid w:val="00DB59A1"/>
    <w:rsid w:val="00DB6AEB"/>
    <w:rsid w:val="00DC5E42"/>
    <w:rsid w:val="00DD6AC5"/>
    <w:rsid w:val="00DE0C0B"/>
    <w:rsid w:val="00DE15FF"/>
    <w:rsid w:val="00DE62B5"/>
    <w:rsid w:val="00E03566"/>
    <w:rsid w:val="00E07063"/>
    <w:rsid w:val="00E13EB6"/>
    <w:rsid w:val="00E14B84"/>
    <w:rsid w:val="00E14F02"/>
    <w:rsid w:val="00E1583E"/>
    <w:rsid w:val="00E15FC0"/>
    <w:rsid w:val="00E228A4"/>
    <w:rsid w:val="00E25548"/>
    <w:rsid w:val="00E33FD8"/>
    <w:rsid w:val="00E40C32"/>
    <w:rsid w:val="00E40C37"/>
    <w:rsid w:val="00E416A9"/>
    <w:rsid w:val="00E425F2"/>
    <w:rsid w:val="00E431B3"/>
    <w:rsid w:val="00E44F75"/>
    <w:rsid w:val="00E45224"/>
    <w:rsid w:val="00E46639"/>
    <w:rsid w:val="00E53C8F"/>
    <w:rsid w:val="00E56481"/>
    <w:rsid w:val="00E5746F"/>
    <w:rsid w:val="00E576BD"/>
    <w:rsid w:val="00E602DE"/>
    <w:rsid w:val="00E73F44"/>
    <w:rsid w:val="00E81A49"/>
    <w:rsid w:val="00E81FAF"/>
    <w:rsid w:val="00E84B12"/>
    <w:rsid w:val="00E85684"/>
    <w:rsid w:val="00E9079B"/>
    <w:rsid w:val="00EB39D3"/>
    <w:rsid w:val="00EB62E6"/>
    <w:rsid w:val="00EB6AA9"/>
    <w:rsid w:val="00EB7C3A"/>
    <w:rsid w:val="00EC35A4"/>
    <w:rsid w:val="00EC3C1E"/>
    <w:rsid w:val="00EC3CBB"/>
    <w:rsid w:val="00EC6E84"/>
    <w:rsid w:val="00EC6FEF"/>
    <w:rsid w:val="00ED7F64"/>
    <w:rsid w:val="00EE20D2"/>
    <w:rsid w:val="00EE37F0"/>
    <w:rsid w:val="00EE3C86"/>
    <w:rsid w:val="00EE7D03"/>
    <w:rsid w:val="00EF1267"/>
    <w:rsid w:val="00EF3D64"/>
    <w:rsid w:val="00EF633F"/>
    <w:rsid w:val="00EF6CEE"/>
    <w:rsid w:val="00F055A5"/>
    <w:rsid w:val="00F063E0"/>
    <w:rsid w:val="00F06B09"/>
    <w:rsid w:val="00F10427"/>
    <w:rsid w:val="00F12175"/>
    <w:rsid w:val="00F16ACE"/>
    <w:rsid w:val="00F221A8"/>
    <w:rsid w:val="00F35DA5"/>
    <w:rsid w:val="00F36CC9"/>
    <w:rsid w:val="00F41E2B"/>
    <w:rsid w:val="00F44717"/>
    <w:rsid w:val="00F46C25"/>
    <w:rsid w:val="00F57061"/>
    <w:rsid w:val="00F66849"/>
    <w:rsid w:val="00F735CF"/>
    <w:rsid w:val="00F748E6"/>
    <w:rsid w:val="00F7568D"/>
    <w:rsid w:val="00F758F6"/>
    <w:rsid w:val="00F7644C"/>
    <w:rsid w:val="00F80A0E"/>
    <w:rsid w:val="00F83777"/>
    <w:rsid w:val="00F84B58"/>
    <w:rsid w:val="00F87B55"/>
    <w:rsid w:val="00F921A4"/>
    <w:rsid w:val="00F94983"/>
    <w:rsid w:val="00F95FCF"/>
    <w:rsid w:val="00F96A72"/>
    <w:rsid w:val="00FA1AD7"/>
    <w:rsid w:val="00FA37CE"/>
    <w:rsid w:val="00FA435E"/>
    <w:rsid w:val="00FC0537"/>
    <w:rsid w:val="00FC5130"/>
    <w:rsid w:val="00FD22A2"/>
    <w:rsid w:val="00FD385B"/>
    <w:rsid w:val="00FE2277"/>
    <w:rsid w:val="00FE70D2"/>
    <w:rsid w:val="02705274"/>
    <w:rsid w:val="02844D03"/>
    <w:rsid w:val="03C427F9"/>
    <w:rsid w:val="04433F65"/>
    <w:rsid w:val="06313A3A"/>
    <w:rsid w:val="071F5763"/>
    <w:rsid w:val="07367DB5"/>
    <w:rsid w:val="07931DC8"/>
    <w:rsid w:val="08604D8B"/>
    <w:rsid w:val="08FE0A8A"/>
    <w:rsid w:val="09945DAC"/>
    <w:rsid w:val="0A0159AE"/>
    <w:rsid w:val="0A850229"/>
    <w:rsid w:val="0C001AA5"/>
    <w:rsid w:val="0CCD6508"/>
    <w:rsid w:val="0D956C37"/>
    <w:rsid w:val="0DB13EAA"/>
    <w:rsid w:val="0DF44E4D"/>
    <w:rsid w:val="0F125EE9"/>
    <w:rsid w:val="109D7D02"/>
    <w:rsid w:val="118E5137"/>
    <w:rsid w:val="11DC0B38"/>
    <w:rsid w:val="12606E39"/>
    <w:rsid w:val="13775C61"/>
    <w:rsid w:val="15CD3129"/>
    <w:rsid w:val="16C436F8"/>
    <w:rsid w:val="187D5604"/>
    <w:rsid w:val="19471C92"/>
    <w:rsid w:val="1CCA216B"/>
    <w:rsid w:val="1D613CEA"/>
    <w:rsid w:val="1DC7240A"/>
    <w:rsid w:val="1EA33E97"/>
    <w:rsid w:val="2025312C"/>
    <w:rsid w:val="25BF3B48"/>
    <w:rsid w:val="27960705"/>
    <w:rsid w:val="281D31F5"/>
    <w:rsid w:val="289C4C88"/>
    <w:rsid w:val="29BE3102"/>
    <w:rsid w:val="2A9F6CDB"/>
    <w:rsid w:val="2C3E7916"/>
    <w:rsid w:val="2CA71C9B"/>
    <w:rsid w:val="2D1E25AF"/>
    <w:rsid w:val="2D961D38"/>
    <w:rsid w:val="2DC5058B"/>
    <w:rsid w:val="2F353F58"/>
    <w:rsid w:val="2FF656BB"/>
    <w:rsid w:val="306A4FDE"/>
    <w:rsid w:val="306B24B7"/>
    <w:rsid w:val="31891AA3"/>
    <w:rsid w:val="318E429D"/>
    <w:rsid w:val="3276283A"/>
    <w:rsid w:val="32BC48B0"/>
    <w:rsid w:val="330203DB"/>
    <w:rsid w:val="332A0E68"/>
    <w:rsid w:val="33F805C6"/>
    <w:rsid w:val="35022698"/>
    <w:rsid w:val="352A731E"/>
    <w:rsid w:val="35BB3C37"/>
    <w:rsid w:val="35FF3EA3"/>
    <w:rsid w:val="37163E8E"/>
    <w:rsid w:val="388F3042"/>
    <w:rsid w:val="3B205E99"/>
    <w:rsid w:val="3B3F43AF"/>
    <w:rsid w:val="3B4020CD"/>
    <w:rsid w:val="3B5658C9"/>
    <w:rsid w:val="3BFD44B8"/>
    <w:rsid w:val="3C164589"/>
    <w:rsid w:val="3C4A1944"/>
    <w:rsid w:val="3F043239"/>
    <w:rsid w:val="4062038D"/>
    <w:rsid w:val="40DB0173"/>
    <w:rsid w:val="415A42CA"/>
    <w:rsid w:val="41D46D78"/>
    <w:rsid w:val="41FC3F59"/>
    <w:rsid w:val="421200F7"/>
    <w:rsid w:val="42152F5F"/>
    <w:rsid w:val="4276513E"/>
    <w:rsid w:val="42BD1609"/>
    <w:rsid w:val="42CD585F"/>
    <w:rsid w:val="436A2095"/>
    <w:rsid w:val="44777FD1"/>
    <w:rsid w:val="455620FF"/>
    <w:rsid w:val="46626D07"/>
    <w:rsid w:val="46EC3B32"/>
    <w:rsid w:val="476F6770"/>
    <w:rsid w:val="49295E97"/>
    <w:rsid w:val="49E574CA"/>
    <w:rsid w:val="4A9E6534"/>
    <w:rsid w:val="4B6E5E1C"/>
    <w:rsid w:val="4C080E8D"/>
    <w:rsid w:val="4C0B16FA"/>
    <w:rsid w:val="4C5B6536"/>
    <w:rsid w:val="4C813FB6"/>
    <w:rsid w:val="4CDD5075"/>
    <w:rsid w:val="4CF60E73"/>
    <w:rsid w:val="4D862275"/>
    <w:rsid w:val="4D9D70EE"/>
    <w:rsid w:val="4E823C52"/>
    <w:rsid w:val="513B1778"/>
    <w:rsid w:val="51E15A82"/>
    <w:rsid w:val="524C3E1D"/>
    <w:rsid w:val="53871019"/>
    <w:rsid w:val="543468E7"/>
    <w:rsid w:val="56D50E5D"/>
    <w:rsid w:val="56F97274"/>
    <w:rsid w:val="574B04B5"/>
    <w:rsid w:val="576167BA"/>
    <w:rsid w:val="57CF247F"/>
    <w:rsid w:val="58154828"/>
    <w:rsid w:val="59321B02"/>
    <w:rsid w:val="5A465FB9"/>
    <w:rsid w:val="5B0837BF"/>
    <w:rsid w:val="5C8F2367"/>
    <w:rsid w:val="5C9A7236"/>
    <w:rsid w:val="5E8A1F56"/>
    <w:rsid w:val="5EBA1FB3"/>
    <w:rsid w:val="5EBE5E8D"/>
    <w:rsid w:val="5F223BC2"/>
    <w:rsid w:val="5F6726EB"/>
    <w:rsid w:val="5FB40A4E"/>
    <w:rsid w:val="61217574"/>
    <w:rsid w:val="61B23BBC"/>
    <w:rsid w:val="61DC6640"/>
    <w:rsid w:val="62180893"/>
    <w:rsid w:val="635D47F5"/>
    <w:rsid w:val="64662B5A"/>
    <w:rsid w:val="655B0B17"/>
    <w:rsid w:val="65B546B9"/>
    <w:rsid w:val="675E4295"/>
    <w:rsid w:val="67650F4D"/>
    <w:rsid w:val="680A1369"/>
    <w:rsid w:val="688D5339"/>
    <w:rsid w:val="693456AF"/>
    <w:rsid w:val="6D7F7A4A"/>
    <w:rsid w:val="6DF24ED7"/>
    <w:rsid w:val="6E241FC2"/>
    <w:rsid w:val="6E6307D2"/>
    <w:rsid w:val="70317D81"/>
    <w:rsid w:val="70AC775D"/>
    <w:rsid w:val="70AF3BBD"/>
    <w:rsid w:val="70E31A44"/>
    <w:rsid w:val="71D032AA"/>
    <w:rsid w:val="71F25676"/>
    <w:rsid w:val="7209325C"/>
    <w:rsid w:val="757A45AA"/>
    <w:rsid w:val="76067762"/>
    <w:rsid w:val="76FD70FD"/>
    <w:rsid w:val="787D7C47"/>
    <w:rsid w:val="7925218A"/>
    <w:rsid w:val="79D90259"/>
    <w:rsid w:val="7BCF6898"/>
    <w:rsid w:val="7C760F60"/>
    <w:rsid w:val="7C9F165B"/>
    <w:rsid w:val="7D0404D5"/>
    <w:rsid w:val="7E0A38E8"/>
    <w:rsid w:val="7FB817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unhideWhenUsed="0"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7"/>
    <w:basedOn w:val="1"/>
    <w:next w:val="1"/>
    <w:qFormat/>
    <w:uiPriority w:val="0"/>
    <w:pPr>
      <w:keepNext/>
      <w:spacing w:before="120" w:after="120" w:line="360" w:lineRule="auto"/>
      <w:ind w:right="-36" w:rightChars="-17"/>
      <w:jc w:val="center"/>
      <w:outlineLvl w:val="6"/>
    </w:pPr>
    <w:rPr>
      <w:rFonts w:ascii="黑体" w:eastAsia="黑体"/>
      <w:b/>
      <w:bCs/>
      <w:szCs w:val="21"/>
    </w:rPr>
  </w:style>
  <w:style w:type="paragraph" w:styleId="6">
    <w:name w:val="heading 8"/>
    <w:basedOn w:val="1"/>
    <w:next w:val="1"/>
    <w:qFormat/>
    <w:uiPriority w:val="0"/>
    <w:pPr>
      <w:keepNext/>
      <w:spacing w:before="120" w:after="120" w:line="360" w:lineRule="auto"/>
      <w:ind w:right="-36" w:rightChars="-17"/>
      <w:jc w:val="center"/>
      <w:outlineLvl w:val="7"/>
    </w:pPr>
    <w:rPr>
      <w:rFonts w:ascii="黑体" w:eastAsia="黑体"/>
      <w:b/>
      <w:bCs/>
      <w:sz w:val="18"/>
      <w:szCs w:val="21"/>
    </w:rPr>
  </w:style>
  <w:style w:type="paragraph" w:styleId="7">
    <w:name w:val="heading 9"/>
    <w:basedOn w:val="1"/>
    <w:next w:val="1"/>
    <w:qFormat/>
    <w:uiPriority w:val="0"/>
    <w:pPr>
      <w:keepNext/>
      <w:framePr w:hSpace="180" w:wrap="notBeside" w:vAnchor="margin" w:hAnchor="margin" w:y="618"/>
      <w:spacing w:before="120" w:after="120" w:line="360" w:lineRule="auto"/>
      <w:ind w:right="-36" w:rightChars="-17"/>
      <w:outlineLvl w:val="8"/>
    </w:pPr>
    <w:rPr>
      <w:rFonts w:ascii="黑体" w:eastAsia="黑体"/>
      <w:b/>
      <w:bCs/>
      <w:szCs w:val="21"/>
    </w:rPr>
  </w:style>
  <w:style w:type="character" w:default="1" w:styleId="33">
    <w:name w:val="Default Paragraph Font"/>
    <w:semiHidden/>
    <w:qFormat/>
    <w:uiPriority w:val="0"/>
  </w:style>
  <w:style w:type="table" w:default="1" w:styleId="3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oc 7"/>
    <w:basedOn w:val="1"/>
    <w:next w:val="1"/>
    <w:semiHidden/>
    <w:qFormat/>
    <w:uiPriority w:val="0"/>
    <w:pPr>
      <w:ind w:left="1260"/>
      <w:jc w:val="left"/>
    </w:pPr>
    <w:rPr>
      <w:sz w:val="18"/>
      <w:szCs w:val="21"/>
    </w:rPr>
  </w:style>
  <w:style w:type="paragraph" w:styleId="9">
    <w:name w:val="Note Heading"/>
    <w:basedOn w:val="1"/>
    <w:next w:val="1"/>
    <w:qFormat/>
    <w:uiPriority w:val="0"/>
    <w:pPr>
      <w:jc w:val="center"/>
    </w:pPr>
  </w:style>
  <w:style w:type="paragraph" w:styleId="10">
    <w:name w:val="Normal Indent"/>
    <w:basedOn w:val="1"/>
    <w:qFormat/>
    <w:uiPriority w:val="0"/>
    <w:pPr>
      <w:ind w:firstLine="420"/>
    </w:pPr>
    <w:rPr>
      <w:szCs w:val="20"/>
    </w:rPr>
  </w:style>
  <w:style w:type="paragraph" w:styleId="11">
    <w:name w:val="Body Text"/>
    <w:basedOn w:val="1"/>
    <w:uiPriority w:val="0"/>
    <w:pPr>
      <w:spacing w:after="120"/>
    </w:pPr>
  </w:style>
  <w:style w:type="paragraph" w:styleId="12">
    <w:name w:val="Body Text Indent"/>
    <w:basedOn w:val="1"/>
    <w:qFormat/>
    <w:uiPriority w:val="0"/>
    <w:pPr>
      <w:spacing w:after="120"/>
      <w:ind w:left="420" w:leftChars="200"/>
    </w:pPr>
  </w:style>
  <w:style w:type="paragraph" w:styleId="13">
    <w:name w:val="toc 5"/>
    <w:basedOn w:val="1"/>
    <w:next w:val="1"/>
    <w:semiHidden/>
    <w:uiPriority w:val="0"/>
    <w:pPr>
      <w:ind w:left="840"/>
      <w:jc w:val="left"/>
    </w:pPr>
    <w:rPr>
      <w:sz w:val="18"/>
      <w:szCs w:val="21"/>
    </w:rPr>
  </w:style>
  <w:style w:type="paragraph" w:styleId="14">
    <w:name w:val="toc 3"/>
    <w:basedOn w:val="1"/>
    <w:next w:val="1"/>
    <w:semiHidden/>
    <w:qFormat/>
    <w:uiPriority w:val="0"/>
    <w:pPr>
      <w:ind w:left="420"/>
      <w:jc w:val="left"/>
    </w:pPr>
    <w:rPr>
      <w:i/>
      <w:iCs/>
      <w:sz w:val="20"/>
    </w:rPr>
  </w:style>
  <w:style w:type="paragraph" w:styleId="1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6">
    <w:name w:val="toc 8"/>
    <w:basedOn w:val="1"/>
    <w:next w:val="1"/>
    <w:semiHidden/>
    <w:qFormat/>
    <w:uiPriority w:val="0"/>
    <w:pPr>
      <w:ind w:left="1470"/>
      <w:jc w:val="left"/>
    </w:pPr>
    <w:rPr>
      <w:sz w:val="18"/>
      <w:szCs w:val="21"/>
    </w:rPr>
  </w:style>
  <w:style w:type="paragraph" w:styleId="17">
    <w:name w:val="Date"/>
    <w:basedOn w:val="1"/>
    <w:next w:val="1"/>
    <w:qFormat/>
    <w:uiPriority w:val="0"/>
    <w:pPr>
      <w:ind w:left="100" w:leftChars="2500"/>
    </w:pPr>
  </w:style>
  <w:style w:type="paragraph" w:styleId="18">
    <w:name w:val="Body Text Indent 2"/>
    <w:basedOn w:val="1"/>
    <w:qFormat/>
    <w:uiPriority w:val="0"/>
    <w:pPr>
      <w:spacing w:line="360" w:lineRule="auto"/>
      <w:ind w:firstLine="560" w:firstLineChars="200"/>
    </w:pPr>
    <w:rPr>
      <w:spacing w:val="20"/>
      <w:sz w:val="24"/>
    </w:rPr>
  </w:style>
  <w:style w:type="paragraph" w:styleId="19">
    <w:name w:val="Balloon Text"/>
    <w:basedOn w:val="1"/>
    <w:semiHidden/>
    <w:qFormat/>
    <w:uiPriority w:val="0"/>
    <w:rPr>
      <w:sz w:val="18"/>
      <w:szCs w:val="18"/>
    </w:rPr>
  </w:style>
  <w:style w:type="paragraph" w:styleId="2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2">
    <w:name w:val="toc 1"/>
    <w:basedOn w:val="1"/>
    <w:next w:val="1"/>
    <w:semiHidden/>
    <w:qFormat/>
    <w:uiPriority w:val="0"/>
    <w:pPr>
      <w:spacing w:before="120" w:after="120"/>
      <w:jc w:val="left"/>
    </w:pPr>
    <w:rPr>
      <w:b/>
      <w:bCs/>
      <w:caps/>
      <w:sz w:val="20"/>
    </w:rPr>
  </w:style>
  <w:style w:type="paragraph" w:styleId="23">
    <w:name w:val="toc 4"/>
    <w:basedOn w:val="1"/>
    <w:next w:val="1"/>
    <w:semiHidden/>
    <w:qFormat/>
    <w:uiPriority w:val="0"/>
    <w:pPr>
      <w:ind w:left="630"/>
      <w:jc w:val="left"/>
    </w:pPr>
    <w:rPr>
      <w:sz w:val="18"/>
      <w:szCs w:val="21"/>
    </w:rPr>
  </w:style>
  <w:style w:type="paragraph" w:styleId="24">
    <w:name w:val="footnote text"/>
    <w:basedOn w:val="1"/>
    <w:semiHidden/>
    <w:uiPriority w:val="0"/>
    <w:pPr>
      <w:snapToGrid w:val="0"/>
      <w:jc w:val="left"/>
    </w:pPr>
    <w:rPr>
      <w:sz w:val="18"/>
      <w:szCs w:val="18"/>
    </w:rPr>
  </w:style>
  <w:style w:type="paragraph" w:styleId="25">
    <w:name w:val="toc 6"/>
    <w:basedOn w:val="1"/>
    <w:next w:val="1"/>
    <w:semiHidden/>
    <w:qFormat/>
    <w:uiPriority w:val="0"/>
    <w:pPr>
      <w:ind w:left="1050"/>
      <w:jc w:val="left"/>
    </w:pPr>
    <w:rPr>
      <w:sz w:val="18"/>
      <w:szCs w:val="21"/>
    </w:rPr>
  </w:style>
  <w:style w:type="paragraph" w:styleId="26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7">
    <w:name w:val="toc 2"/>
    <w:basedOn w:val="1"/>
    <w:next w:val="1"/>
    <w:semiHidden/>
    <w:qFormat/>
    <w:uiPriority w:val="0"/>
    <w:pPr>
      <w:ind w:left="210"/>
      <w:jc w:val="left"/>
    </w:pPr>
    <w:rPr>
      <w:smallCaps/>
      <w:sz w:val="20"/>
    </w:rPr>
  </w:style>
  <w:style w:type="paragraph" w:styleId="28">
    <w:name w:val="toc 9"/>
    <w:basedOn w:val="1"/>
    <w:next w:val="1"/>
    <w:semiHidden/>
    <w:qFormat/>
    <w:uiPriority w:val="0"/>
    <w:pPr>
      <w:ind w:left="1680"/>
      <w:jc w:val="left"/>
    </w:pPr>
    <w:rPr>
      <w:sz w:val="18"/>
      <w:szCs w:val="21"/>
    </w:rPr>
  </w:style>
  <w:style w:type="paragraph" w:styleId="29">
    <w:name w:val="Normal (Web)"/>
    <w:basedOn w:val="1"/>
    <w:qFormat/>
    <w:uiPriority w:val="0"/>
    <w:pPr>
      <w:widowControl/>
      <w:spacing w:before="144" w:after="144"/>
      <w:jc w:val="left"/>
    </w:pPr>
    <w:rPr>
      <w:rFonts w:ascii="宋体" w:hAnsi="宋体" w:cs="宋体"/>
      <w:kern w:val="0"/>
      <w:sz w:val="24"/>
    </w:rPr>
  </w:style>
  <w:style w:type="table" w:styleId="31">
    <w:name w:val="Table Grid"/>
    <w:basedOn w:val="3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32">
    <w:name w:val="Table Web 2"/>
    <w:basedOn w:val="30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34">
    <w:name w:val="Strong"/>
    <w:qFormat/>
    <w:uiPriority w:val="0"/>
    <w:rPr>
      <w:b/>
      <w:bCs/>
    </w:rPr>
  </w:style>
  <w:style w:type="character" w:styleId="35">
    <w:name w:val="page number"/>
    <w:uiPriority w:val="0"/>
  </w:style>
  <w:style w:type="character" w:styleId="36">
    <w:name w:val="FollowedHyperlink"/>
    <w:qFormat/>
    <w:uiPriority w:val="0"/>
    <w:rPr>
      <w:color w:val="800080"/>
      <w:u w:val="single"/>
    </w:rPr>
  </w:style>
  <w:style w:type="character" w:styleId="37">
    <w:name w:val="Hyperlink"/>
    <w:qFormat/>
    <w:uiPriority w:val="0"/>
    <w:rPr>
      <w:rFonts w:hint="default" w:ascii="ˎ̥" w:hAnsi="ˎ̥"/>
      <w:color w:val="3E8080"/>
      <w:u w:val="single"/>
    </w:rPr>
  </w:style>
  <w:style w:type="character" w:customStyle="1" w:styleId="38">
    <w:name w:val="zl-txt1"/>
    <w:qFormat/>
    <w:uiPriority w:val="0"/>
    <w:rPr>
      <w:color w:val="FF0000"/>
    </w:rPr>
  </w:style>
  <w:style w:type="character" w:customStyle="1" w:styleId="39">
    <w:name w:val="alldata"/>
    <w:qFormat/>
    <w:uiPriority w:val="0"/>
  </w:style>
  <w:style w:type="paragraph" w:customStyle="1" w:styleId="40">
    <w:name w:val="样式11"/>
    <w:basedOn w:val="6"/>
    <w:next w:val="1"/>
    <w:qFormat/>
    <w:uiPriority w:val="0"/>
    <w:pPr>
      <w:keepNext w:val="0"/>
      <w:numPr>
        <w:ilvl w:val="0"/>
        <w:numId w:val="1"/>
      </w:numPr>
      <w:spacing w:before="0" w:after="0"/>
      <w:ind w:right="0" w:rightChars="0"/>
      <w:jc w:val="left"/>
    </w:pPr>
    <w:rPr>
      <w:rFonts w:ascii="宋体" w:hAnsi="宋体" w:eastAsia="宋体"/>
      <w:b w:val="0"/>
      <w:bCs w:val="0"/>
      <w:kern w:val="0"/>
      <w:sz w:val="32"/>
      <w:szCs w:val="28"/>
    </w:rPr>
  </w:style>
  <w:style w:type="paragraph" w:customStyle="1" w:styleId="41">
    <w:name w:val="_Style 40"/>
    <w:basedOn w:val="1"/>
    <w:next w:val="1"/>
    <w:qFormat/>
    <w:uiPriority w:val="0"/>
    <w:pPr>
      <w:widowControl/>
      <w:pBdr>
        <w:bottom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42">
    <w:name w:val=" Char1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3">
    <w:name w:val="Char"/>
    <w:basedOn w:val="1"/>
    <w:uiPriority w:val="0"/>
    <w:rPr>
      <w:rFonts w:ascii="Tahoma" w:hAnsi="Tahoma"/>
      <w:sz w:val="24"/>
      <w:szCs w:val="20"/>
    </w:rPr>
  </w:style>
  <w:style w:type="paragraph" w:customStyle="1" w:styleId="44">
    <w:name w:val=" Char"/>
    <w:basedOn w:val="1"/>
    <w:qFormat/>
    <w:uiPriority w:val="0"/>
    <w:pPr>
      <w:spacing w:line="240" w:lineRule="atLeast"/>
      <w:ind w:left="420" w:firstLine="420"/>
    </w:pPr>
    <w:rPr>
      <w:kern w:val="0"/>
      <w:szCs w:val="21"/>
    </w:rPr>
  </w:style>
  <w:style w:type="paragraph" w:customStyle="1" w:styleId="45">
    <w:name w:val="_Style 44"/>
    <w:basedOn w:val="1"/>
    <w:next w:val="1"/>
    <w:qFormat/>
    <w:uiPriority w:val="0"/>
    <w:pPr>
      <w:widowControl/>
      <w:pBdr>
        <w:top w:val="single" w:color="auto" w:sz="6" w:space="1"/>
      </w:pBdr>
      <w:jc w:val="center"/>
    </w:pPr>
    <w:rPr>
      <w:rFonts w:ascii="Arial" w:hAnsi="Arial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646</Words>
  <Characters>735</Characters>
  <Lines>17</Lines>
  <Paragraphs>4</Paragraphs>
  <TotalTime>2</TotalTime>
  <ScaleCrop>false</ScaleCrop>
  <LinksUpToDate>false</LinksUpToDate>
  <CharactersWithSpaces>736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2012-09-13T01:29:00Z</dcterms:created>
  <dc:creator>zhubo</dc:creator>
  <cp:lastModifiedBy>宋南</cp:lastModifiedBy>
  <cp:lastPrinted>2023-05-31T03:28:59Z</cp:lastPrinted>
  <dcterms:modified xsi:type="dcterms:W3CDTF">2023-05-31T08:07:46Z</dcterms:modified>
  <dc:title>中国工商银行北京分行房山培训中心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A8B6662C421E45009118DCD2FCB34A27_13</vt:lpwstr>
  </property>
</Properties>
</file>